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F12B4">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7C85A782">
      <w:pPr>
        <w:rPr>
          <w:rFonts w:hint="default" w:ascii="Times New Roman" w:hAnsi="Times New Roman" w:cs="Times New Roman"/>
        </w:rPr>
      </w:pPr>
    </w:p>
    <w:p w14:paraId="7E129550">
      <w:pPr>
        <w:rPr>
          <w:rFonts w:hint="default" w:ascii="Times New Roman" w:hAnsi="Times New Roman" w:cs="Times New Roman"/>
        </w:rPr>
      </w:pPr>
    </w:p>
    <w:p w14:paraId="30E378D2">
      <w:pPr>
        <w:rPr>
          <w:rFonts w:hint="default" w:ascii="Times New Roman" w:hAnsi="Times New Roman" w:cs="Times New Roman"/>
        </w:rPr>
      </w:pPr>
    </w:p>
    <w:p w14:paraId="3822D440">
      <w:pPr>
        <w:rPr>
          <w:rFonts w:hint="default" w:ascii="Times New Roman" w:hAnsi="Times New Roman" w:cs="Times New Roman"/>
        </w:rPr>
      </w:pPr>
    </w:p>
    <w:p w14:paraId="38A20C54">
      <w:pPr>
        <w:rPr>
          <w:rFonts w:hint="default" w:ascii="Times New Roman" w:hAnsi="Times New Roman" w:cs="Times New Roman"/>
        </w:rPr>
      </w:pPr>
    </w:p>
    <w:p w14:paraId="7F7D2523">
      <w:pPr>
        <w:rPr>
          <w:rFonts w:hint="default" w:ascii="Times New Roman" w:hAnsi="Times New Roman" w:cs="Times New Roman"/>
        </w:rPr>
      </w:pPr>
    </w:p>
    <w:p w14:paraId="37596DD0">
      <w:pPr>
        <w:rPr>
          <w:rFonts w:hint="default" w:ascii="Times New Roman" w:hAnsi="Times New Roman" w:cs="Times New Roman"/>
        </w:rPr>
      </w:pPr>
    </w:p>
    <w:p w14:paraId="6669779E">
      <w:pPr>
        <w:rPr>
          <w:rFonts w:hint="default" w:ascii="Times New Roman" w:hAnsi="Times New Roman" w:cs="Times New Roman"/>
        </w:rPr>
      </w:pPr>
    </w:p>
    <w:p w14:paraId="0EE49303">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eastAsia="zh-CN"/>
        </w:rPr>
        <w:t>医疗生育保险管理服务中心</w:t>
      </w:r>
      <w:r>
        <w:rPr>
          <w:rFonts w:hint="default" w:ascii="Times New Roman" w:hAnsi="Times New Roman" w:eastAsia="华文中宋" w:cs="Times New Roman"/>
          <w:b/>
          <w:sz w:val="44"/>
          <w:szCs w:val="44"/>
        </w:rPr>
        <w:t>2025年</w:t>
      </w:r>
    </w:p>
    <w:p w14:paraId="168C23F1">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单位预算</w:t>
      </w:r>
    </w:p>
    <w:p w14:paraId="3817C44F">
      <w:pPr>
        <w:rPr>
          <w:rFonts w:hint="default" w:ascii="Times New Roman" w:hAnsi="Times New Roman" w:cs="Times New Roman"/>
        </w:rPr>
      </w:pPr>
    </w:p>
    <w:p w14:paraId="2C452F40">
      <w:pPr>
        <w:rPr>
          <w:rFonts w:hint="default" w:ascii="Times New Roman" w:hAnsi="Times New Roman" w:cs="Times New Roman"/>
        </w:rPr>
      </w:pPr>
    </w:p>
    <w:p w14:paraId="4B9A09D8">
      <w:pPr>
        <w:rPr>
          <w:rFonts w:hint="default" w:ascii="Times New Roman" w:hAnsi="Times New Roman" w:cs="Times New Roman"/>
        </w:rPr>
      </w:pPr>
    </w:p>
    <w:p w14:paraId="34969353">
      <w:pPr>
        <w:rPr>
          <w:rFonts w:hint="default" w:ascii="Times New Roman" w:hAnsi="Times New Roman" w:cs="Times New Roman"/>
        </w:rPr>
      </w:pPr>
    </w:p>
    <w:p w14:paraId="244E381D">
      <w:pPr>
        <w:rPr>
          <w:rFonts w:hint="default" w:ascii="Times New Roman" w:hAnsi="Times New Roman" w:cs="Times New Roman"/>
        </w:rPr>
      </w:pPr>
    </w:p>
    <w:p w14:paraId="25A5CC85">
      <w:pPr>
        <w:rPr>
          <w:rFonts w:hint="default" w:ascii="Times New Roman" w:hAnsi="Times New Roman" w:cs="Times New Roman"/>
        </w:rPr>
      </w:pPr>
    </w:p>
    <w:p w14:paraId="1CAA5DE9">
      <w:pPr>
        <w:rPr>
          <w:rFonts w:hint="default" w:ascii="Times New Roman" w:hAnsi="Times New Roman" w:cs="Times New Roman"/>
        </w:rPr>
      </w:pPr>
    </w:p>
    <w:p w14:paraId="57885724">
      <w:pPr>
        <w:rPr>
          <w:rFonts w:hint="default" w:ascii="Times New Roman" w:hAnsi="Times New Roman" w:cs="Times New Roman"/>
        </w:rPr>
      </w:pPr>
    </w:p>
    <w:p w14:paraId="168F63D4">
      <w:pPr>
        <w:rPr>
          <w:rFonts w:hint="default" w:ascii="Times New Roman" w:hAnsi="Times New Roman" w:cs="Times New Roman"/>
        </w:rPr>
      </w:pPr>
    </w:p>
    <w:p w14:paraId="1570A471">
      <w:pPr>
        <w:rPr>
          <w:rFonts w:hint="default" w:ascii="Times New Roman" w:hAnsi="Times New Roman" w:cs="Times New Roman"/>
        </w:rPr>
      </w:pPr>
    </w:p>
    <w:p w14:paraId="11C7D01D">
      <w:pPr>
        <w:rPr>
          <w:rFonts w:hint="default" w:ascii="Times New Roman" w:hAnsi="Times New Roman" w:cs="Times New Roman"/>
        </w:rPr>
      </w:pPr>
    </w:p>
    <w:p w14:paraId="5DF332F9">
      <w:pPr>
        <w:rPr>
          <w:rFonts w:hint="default" w:ascii="Times New Roman" w:hAnsi="Times New Roman" w:cs="Times New Roman"/>
        </w:rPr>
      </w:pPr>
    </w:p>
    <w:p w14:paraId="13AAC49D">
      <w:pPr>
        <w:rPr>
          <w:rFonts w:hint="default" w:ascii="Times New Roman" w:hAnsi="Times New Roman" w:cs="Times New Roman"/>
        </w:rPr>
      </w:pPr>
    </w:p>
    <w:p w14:paraId="78526BD6">
      <w:pPr>
        <w:rPr>
          <w:rFonts w:hint="default" w:ascii="Times New Roman" w:hAnsi="Times New Roman" w:cs="Times New Roman"/>
        </w:rPr>
      </w:pPr>
    </w:p>
    <w:p w14:paraId="631431A9">
      <w:pPr>
        <w:rPr>
          <w:rFonts w:hint="default" w:ascii="Times New Roman" w:hAnsi="Times New Roman" w:cs="Times New Roman"/>
        </w:rPr>
      </w:pPr>
    </w:p>
    <w:p w14:paraId="650315AC">
      <w:pPr>
        <w:rPr>
          <w:rFonts w:hint="default" w:ascii="Times New Roman" w:hAnsi="Times New Roman" w:cs="Times New Roman"/>
        </w:rPr>
      </w:pPr>
    </w:p>
    <w:p w14:paraId="5D190238">
      <w:pPr>
        <w:rPr>
          <w:rFonts w:hint="default" w:ascii="Times New Roman" w:hAnsi="Times New Roman" w:cs="Times New Roman"/>
        </w:rPr>
      </w:pPr>
    </w:p>
    <w:p w14:paraId="2EB272EB">
      <w:pPr>
        <w:rPr>
          <w:rFonts w:hint="default" w:ascii="Times New Roman" w:hAnsi="Times New Roman" w:cs="Times New Roman"/>
        </w:rPr>
      </w:pPr>
    </w:p>
    <w:p w14:paraId="77BC37BC">
      <w:pPr>
        <w:rPr>
          <w:rFonts w:hint="default" w:ascii="Times New Roman" w:hAnsi="Times New Roman" w:cs="Times New Roman"/>
        </w:rPr>
      </w:pPr>
    </w:p>
    <w:p w14:paraId="334D98AC">
      <w:pPr>
        <w:rPr>
          <w:rFonts w:hint="default" w:ascii="Times New Roman" w:hAnsi="Times New Roman" w:cs="Times New Roman"/>
        </w:rPr>
      </w:pPr>
    </w:p>
    <w:p w14:paraId="4524DA98">
      <w:pPr>
        <w:rPr>
          <w:rFonts w:hint="default" w:ascii="Times New Roman" w:hAnsi="Times New Roman" w:cs="Times New Roman"/>
        </w:rPr>
      </w:pPr>
    </w:p>
    <w:p w14:paraId="69167749">
      <w:pPr>
        <w:rPr>
          <w:rFonts w:hint="default" w:ascii="Times New Roman" w:hAnsi="Times New Roman" w:cs="Times New Roman"/>
        </w:rPr>
      </w:pPr>
    </w:p>
    <w:p w14:paraId="430A96CF">
      <w:pPr>
        <w:pStyle w:val="6"/>
        <w:adjustRightInd w:val="0"/>
        <w:snapToGrid w:val="0"/>
        <w:spacing w:line="560" w:lineRule="exact"/>
        <w:jc w:val="center"/>
        <w:rPr>
          <w:rFonts w:hint="default" w:ascii="Times New Roman" w:hAnsi="Times New Roman" w:eastAsia="黑体" w:cs="Times New Roman"/>
          <w:bCs/>
          <w:sz w:val="44"/>
          <w:szCs w:val="44"/>
        </w:rPr>
      </w:pPr>
    </w:p>
    <w:p w14:paraId="6D8F0036">
      <w:pPr>
        <w:pStyle w:val="6"/>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0D4DBC9D">
      <w:pPr>
        <w:rPr>
          <w:rFonts w:hint="default" w:ascii="Times New Roman" w:hAnsi="Times New Roman" w:cs="Times New Roman"/>
        </w:rPr>
      </w:pPr>
    </w:p>
    <w:p w14:paraId="49384200">
      <w:pPr>
        <w:rPr>
          <w:rFonts w:hint="default" w:ascii="Times New Roman" w:hAnsi="Times New Roman" w:cs="Times New Roman"/>
        </w:rPr>
      </w:pPr>
    </w:p>
    <w:p w14:paraId="5BEC350E">
      <w:pPr>
        <w:pStyle w:val="6"/>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116C6873">
      <w:pPr>
        <w:rPr>
          <w:rFonts w:hint="default" w:ascii="Times New Roman" w:hAnsi="Times New Roman" w:cs="Times New Roman"/>
        </w:rPr>
      </w:pPr>
    </w:p>
    <w:p w14:paraId="01CE679D">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单位概况</w:t>
      </w:r>
    </w:p>
    <w:p w14:paraId="37F07CF9">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3D626EFF">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2、单位预算构成</w:t>
      </w:r>
    </w:p>
    <w:p w14:paraId="2FB76635">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2B770D42">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2025年单位预算表</w:t>
      </w:r>
    </w:p>
    <w:p w14:paraId="25340AFB">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2025年收支总表</w:t>
      </w:r>
    </w:p>
    <w:p w14:paraId="7B04349C">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2025年收入总表</w:t>
      </w:r>
    </w:p>
    <w:p w14:paraId="4683E4A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2025年支出总表</w:t>
      </w:r>
    </w:p>
    <w:p w14:paraId="5FDB584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2025年财政拨款收支总表</w:t>
      </w:r>
    </w:p>
    <w:p w14:paraId="3A42D7B8">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2025年一般公共预算支出表</w:t>
      </w:r>
    </w:p>
    <w:p w14:paraId="10864836">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2025年一般公共预算基本支出表</w:t>
      </w:r>
    </w:p>
    <w:p w14:paraId="64B408BF">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2025年政府性基金预算支出表</w:t>
      </w:r>
    </w:p>
    <w:p w14:paraId="35713CBF">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2025年国有资本经营预算支出表</w:t>
      </w:r>
    </w:p>
    <w:p w14:paraId="5D737D57">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2025年项目支出表</w:t>
      </w:r>
    </w:p>
    <w:p w14:paraId="3DC425BF">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2025年政府采购支出表</w:t>
      </w:r>
    </w:p>
    <w:p w14:paraId="46474044">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2025年政府购买服务支出表</w:t>
      </w:r>
    </w:p>
    <w:p w14:paraId="6A0C0C98">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2025年通用资产配置支出表</w:t>
      </w:r>
    </w:p>
    <w:p w14:paraId="02FE6422">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2025年单位预算情况说明</w:t>
      </w:r>
    </w:p>
    <w:p w14:paraId="6844B30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5EF57AA0">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0723A0E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565A2762">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4E27F262">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44119033">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5B28525A">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203130B3">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25C45BEC">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2B31DDB1">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40F3B8F1">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048154F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1043FED7">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060EC7A1">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5582C486">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2025年部门预算纳入绩效考评项目表</w:t>
      </w:r>
    </w:p>
    <w:p w14:paraId="30F640D9">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bCs/>
          <w:sz w:val="32"/>
          <w:szCs w:val="32"/>
        </w:rPr>
        <w:t>2025年部门预算专项资金管理清单（专栏公开）</w:t>
      </w:r>
    </w:p>
    <w:p w14:paraId="1F40E571">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p>
    <w:p w14:paraId="449EF766">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部门（单位）概况</w:t>
      </w:r>
    </w:p>
    <w:p w14:paraId="68A5E50A">
      <w:pPr>
        <w:rPr>
          <w:rFonts w:hint="default" w:ascii="Times New Roman" w:hAnsi="Times New Roman" w:cs="Times New Roman"/>
        </w:rPr>
      </w:pPr>
    </w:p>
    <w:p w14:paraId="1DD6BEAA">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2FAD0089">
      <w:pPr>
        <w:pStyle w:val="6"/>
        <w:keepNext w:val="0"/>
        <w:keepLines w:val="0"/>
        <w:pageBreakBefore w:val="0"/>
        <w:widowControl/>
        <w:kinsoku/>
        <w:wordWrap/>
        <w:overflowPunct/>
        <w:topLinePunct w:val="0"/>
        <w:autoSpaceDE/>
        <w:autoSpaceDN/>
        <w:bidi w:val="0"/>
        <w:adjustRightInd w:val="0"/>
        <w:snapToGrid w:val="0"/>
        <w:spacing w:line="560" w:lineRule="exact"/>
        <w:ind w:firstLine="627" w:firstLineChars="196"/>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贯彻执行国家、省和市制定的医疗、生育保险法律法规和政策规定，承担城镇职工、城乡居民医疗、生育保险基金使用市级统筹的综合管理和业务经办工作；负责编制医疗、生育保险基金年度使用预算、决算和支出计划，做好待遇审核和费用结算支付工作；负责定点医药机构服务行为的指导管理工作；承担医疗保障信息系统建设的具体实施和信息系统运行维护管理，以及信息和数据的收集整理、分析利用工作；做好定点医疗机构药品、医用耗材集中采购服务管理工作；负责医疗、生育保险待遇政策的宣传、咨询和信访工作。</w:t>
      </w:r>
    </w:p>
    <w:p w14:paraId="19985117">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二、单位预算构成</w:t>
      </w:r>
    </w:p>
    <w:p w14:paraId="10D0A185">
      <w:pPr>
        <w:pStyle w:val="6"/>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医疗生育保险管理服务中心</w:t>
      </w:r>
      <w:r>
        <w:rPr>
          <w:rFonts w:hint="default" w:ascii="Times New Roman" w:hAnsi="Times New Roman" w:eastAsia="仿宋_GB2312" w:cs="Times New Roman"/>
          <w:sz w:val="32"/>
          <w:szCs w:val="32"/>
        </w:rPr>
        <w:t>2025年度部门预算仅包括</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本级预算，无其他下属单位预算。</w:t>
      </w:r>
    </w:p>
    <w:p w14:paraId="654E5E55">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62BA04DB">
      <w:pPr>
        <w:pStyle w:val="6"/>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w:t>
      </w:r>
      <w:r>
        <w:rPr>
          <w:rFonts w:hint="default" w:ascii="Times New Roman" w:hAnsi="Times New Roman" w:eastAsia="楷体_GB2312" w:cs="Times New Roman"/>
          <w:b/>
          <w:bCs/>
          <w:w w:val="100"/>
          <w:sz w:val="32"/>
          <w:szCs w:val="32"/>
        </w:rPr>
        <w:t>按时足额拨付医疗、生育保险待遇</w:t>
      </w:r>
      <w:r>
        <w:rPr>
          <w:rFonts w:hint="default" w:ascii="Times New Roman" w:hAnsi="Times New Roman" w:eastAsia="仿宋_GB2312" w:cs="Times New Roman"/>
          <w:bCs/>
          <w:sz w:val="32"/>
          <w:szCs w:val="32"/>
        </w:rPr>
        <w:t>。</w:t>
      </w:r>
    </w:p>
    <w:p w14:paraId="1856DF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）持续加强党的建设。</w:t>
      </w:r>
      <w:r>
        <w:rPr>
          <w:rFonts w:hint="default" w:ascii="Times New Roman" w:hAnsi="Times New Roman" w:eastAsia="仿宋_GB2312" w:cs="Times New Roman"/>
          <w:sz w:val="32"/>
          <w:szCs w:val="32"/>
        </w:rPr>
        <w:t>强化基层党组织的政治功能和组织功能，全面提升党建工作质量，推深做实主题教育，确保党的各项决策部署在医保领域落地见效。强化作风效能建设，全面提升工作效能，改进工作作风，引导干部职工严守政治纪律和政治规矩，保持为民务实清廉的政治本色。</w:t>
      </w:r>
    </w:p>
    <w:p w14:paraId="3976B4F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）防范居民医保当期赤字风险。</w:t>
      </w:r>
      <w:r>
        <w:rPr>
          <w:rFonts w:hint="default" w:ascii="Times New Roman" w:hAnsi="Times New Roman" w:eastAsia="仿宋_GB2312" w:cs="Times New Roman"/>
          <w:sz w:val="32"/>
          <w:szCs w:val="32"/>
        </w:rPr>
        <w:t>严格预算执行，按照预算合理控制基金支出，杜绝超预算支出等情况。加强基金运行分析，及时发现运行潜在风险，对指标异常的县区进行预警，及时制定措施，加强医保基金使用管理，适时约谈指导。扩大智能审核范围，将普通门诊纳入智能审核范围。扎实开展两定机构年度考核工作，将考核结果与年终清算、质量保证金返还、医保协议续签等挂钩。</w:t>
      </w:r>
    </w:p>
    <w:p w14:paraId="6D4B36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）持续提升医保经办管理服务能力。</w:t>
      </w:r>
      <w:r>
        <w:rPr>
          <w:rFonts w:hint="default" w:ascii="Times New Roman" w:hAnsi="Times New Roman" w:eastAsia="仿宋_GB2312" w:cs="Times New Roman"/>
          <w:sz w:val="32"/>
          <w:szCs w:val="32"/>
        </w:rPr>
        <w:t>持续深化关于医保领域“高效办成一件事”重点事项清单的要求，确保全部落地见效。积极推动智能语音客服扩容，合理调增客服人员数量。持续优化完善医保知识库内容，及时进行修改更新，确保准确性。</w:t>
      </w:r>
    </w:p>
    <w:p w14:paraId="180A9E1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）大力推进支付方式改革。</w:t>
      </w:r>
      <w:r>
        <w:rPr>
          <w:rFonts w:hint="default" w:ascii="Times New Roman" w:hAnsi="Times New Roman" w:eastAsia="仿宋_GB2312" w:cs="Times New Roman"/>
          <w:sz w:val="32"/>
          <w:szCs w:val="32"/>
        </w:rPr>
        <w:t>持续做好DRG结算清单进行质控，确保及时完成2025年度DRG月度结算及特例单议等各项工作，按时完成2024年度定点医疗机构DRG年度清算。积极推进DRG2.0版本分组方案落地应用。</w:t>
      </w:r>
    </w:p>
    <w:p w14:paraId="36A035F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）深化经办服务改革。</w:t>
      </w:r>
      <w:r>
        <w:rPr>
          <w:rFonts w:hint="default" w:ascii="Times New Roman" w:hAnsi="Times New Roman" w:eastAsia="仿宋_GB2312" w:cs="Times New Roman"/>
          <w:sz w:val="32"/>
          <w:szCs w:val="32"/>
        </w:rPr>
        <w:t>积极推进即时结算和同步结算试点，完善医保预付金制度，缓解医疗机构运营压力。积极推进服务下沉，探索推进全城通办，高效服务参保群众。</w:t>
      </w:r>
    </w:p>
    <w:p w14:paraId="4ED0936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）抓好两定机构准入评估优化。</w:t>
      </w:r>
      <w:r>
        <w:rPr>
          <w:rFonts w:hint="default" w:ascii="Times New Roman" w:hAnsi="Times New Roman" w:eastAsia="仿宋_GB2312" w:cs="Times New Roman"/>
          <w:sz w:val="32"/>
          <w:szCs w:val="32"/>
        </w:rPr>
        <w:t>学习长三角地区和省内其他地市的先进管理经验，参考省局2024年两定机构协议范本，严把准入门槛，重新梳理两定机构准入经办规程和相应评分细则，将部分条款与协议续签进行挂钩。</w:t>
      </w:r>
    </w:p>
    <w:p w14:paraId="189048E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八</w:t>
      </w:r>
      <w:r>
        <w:rPr>
          <w:rFonts w:hint="default" w:ascii="Times New Roman" w:hAnsi="Times New Roman" w:eastAsia="楷体_GB2312" w:cs="Times New Roman"/>
          <w:sz w:val="32"/>
          <w:szCs w:val="32"/>
        </w:rPr>
        <w:t>）做好年终结转工作和年底政策待遇调整测试。</w:t>
      </w:r>
      <w:r>
        <w:rPr>
          <w:rFonts w:hint="default" w:ascii="Times New Roman" w:hAnsi="Times New Roman" w:eastAsia="仿宋_GB2312" w:cs="Times New Roman"/>
          <w:sz w:val="32"/>
          <w:szCs w:val="32"/>
        </w:rPr>
        <w:t>根据省局统一部署，牵头各项结转工作，指导县区完成包括特殊医疗类别医疗机构操作结转事宜；根据新政策要求，准备测试环境和测试数据。对测试中发现的问题进行整改，确保新政策稳步实施。</w:t>
      </w:r>
    </w:p>
    <w:p w14:paraId="0CAC58E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九</w:t>
      </w:r>
      <w:r>
        <w:rPr>
          <w:rFonts w:hint="default" w:ascii="Times New Roman" w:hAnsi="Times New Roman" w:eastAsia="楷体_GB2312" w:cs="Times New Roman"/>
          <w:sz w:val="32"/>
          <w:szCs w:val="32"/>
        </w:rPr>
        <w:t>）启动再保险服务项目招标</w:t>
      </w:r>
      <w:r>
        <w:rPr>
          <w:rFonts w:hint="default" w:ascii="Times New Roman" w:hAnsi="Times New Roman" w:eastAsia="楷体_GB2312" w:cs="Times New Roman"/>
          <w:sz w:val="32"/>
          <w:szCs w:val="32"/>
          <w:lang w:eastAsia="zh-CN"/>
        </w:rPr>
        <w:t>工作</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对2024年度职工大额医疗救助基金支出情况进行统计分析，预测2025-2027年度基金支出规模，积极对接财政部门，合理管控商保公司运行风险。筹备开展居民大病保险再保险项目和淮北市基本医保意外伤害保险再保险项目招标</w:t>
      </w:r>
      <w:r>
        <w:rPr>
          <w:rFonts w:hint="default" w:ascii="Times New Roman" w:hAnsi="Times New Roman" w:eastAsia="仿宋_GB2312" w:cs="Times New Roman"/>
          <w:sz w:val="32"/>
          <w:szCs w:val="32"/>
          <w:lang w:eastAsia="zh-CN"/>
        </w:rPr>
        <w:t>前期准备</w:t>
      </w:r>
      <w:r>
        <w:rPr>
          <w:rFonts w:hint="default" w:ascii="Times New Roman" w:hAnsi="Times New Roman" w:eastAsia="仿宋_GB2312" w:cs="Times New Roman"/>
          <w:sz w:val="32"/>
          <w:szCs w:val="32"/>
        </w:rPr>
        <w:t>工作。</w:t>
      </w:r>
    </w:p>
    <w:p w14:paraId="55567B1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十</w:t>
      </w:r>
      <w:r>
        <w:rPr>
          <w:rFonts w:hint="default" w:ascii="Times New Roman" w:hAnsi="Times New Roman" w:eastAsia="楷体_GB2312" w:cs="Times New Roman"/>
          <w:sz w:val="32"/>
          <w:szCs w:val="32"/>
        </w:rPr>
        <w:t>）提升信访工作质效。</w:t>
      </w:r>
      <w:r>
        <w:rPr>
          <w:rFonts w:hint="default" w:ascii="Times New Roman" w:hAnsi="Times New Roman" w:eastAsia="仿宋_GB2312" w:cs="Times New Roman"/>
          <w:sz w:val="32"/>
          <w:szCs w:val="32"/>
        </w:rPr>
        <w:t>建立健全工作机制、加强队伍建设等措施，及时回应群众关切，解决群众在医保领域遇到的问题。同时加强政策宣传，降低信访问题的发生率，提升群众对医保服务的满意度和信任度。</w:t>
      </w:r>
    </w:p>
    <w:p w14:paraId="16354506">
      <w:pPr>
        <w:pStyle w:val="6"/>
        <w:adjustRightInd w:val="0"/>
        <w:snapToGrid w:val="0"/>
        <w:spacing w:line="560" w:lineRule="exact"/>
        <w:ind w:firstLine="627" w:firstLineChars="196"/>
        <w:rPr>
          <w:rFonts w:hint="default" w:ascii="Times New Roman" w:hAnsi="Times New Roman" w:eastAsia="仿宋_GB2312" w:cs="Times New Roman"/>
          <w:bCs/>
          <w:sz w:val="32"/>
          <w:szCs w:val="32"/>
        </w:rPr>
      </w:pPr>
    </w:p>
    <w:p w14:paraId="7EDBB4D6">
      <w:pPr>
        <w:rPr>
          <w:rFonts w:hint="default" w:ascii="Times New Roman" w:hAnsi="Times New Roman" w:cs="Times New Roman"/>
        </w:rPr>
      </w:pPr>
    </w:p>
    <w:p w14:paraId="343CC416">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2025年单位预算表</w:t>
      </w:r>
    </w:p>
    <w:p w14:paraId="78A4A039">
      <w:pPr>
        <w:pStyle w:val="6"/>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7F1D0B5F">
      <w:pPr>
        <w:rPr>
          <w:rFonts w:hint="default" w:ascii="Times New Roman" w:hAnsi="Times New Roman" w:cs="Times New Roman"/>
        </w:rPr>
      </w:pPr>
      <w:r>
        <w:rPr>
          <w:rFonts w:hint="default" w:ascii="Times New Roman" w:hAnsi="Times New Roman" w:cs="Times New Roman"/>
        </w:rPr>
        <w:t xml:space="preserve">                                        </w:t>
      </w:r>
    </w:p>
    <w:p w14:paraId="49953F54">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2025年单位预算情况说明</w:t>
      </w:r>
    </w:p>
    <w:p w14:paraId="0453CD4A">
      <w:pPr>
        <w:rPr>
          <w:rFonts w:hint="default" w:ascii="Times New Roman" w:hAnsi="Times New Roman" w:cs="Times New Roman"/>
        </w:rPr>
      </w:pPr>
    </w:p>
    <w:p w14:paraId="4F3D397C">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2C5B35BE">
      <w:pPr>
        <w:pStyle w:val="6"/>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医疗生育保险管理服务中心</w:t>
      </w:r>
      <w:r>
        <w:rPr>
          <w:rFonts w:hint="default" w:ascii="Times New Roman" w:hAnsi="Times New Roman" w:eastAsia="仿宋_GB2312" w:cs="Times New Roman"/>
          <w:sz w:val="32"/>
          <w:szCs w:val="32"/>
        </w:rPr>
        <w:t>所有收入和支出均纳入单位预算管理。淮北市</w:t>
      </w:r>
      <w:r>
        <w:rPr>
          <w:rFonts w:hint="default" w:ascii="Times New Roman" w:hAnsi="Times New Roman" w:eastAsia="仿宋_GB2312" w:cs="Times New Roman"/>
          <w:sz w:val="32"/>
          <w:szCs w:val="32"/>
          <w:lang w:eastAsia="zh-CN"/>
        </w:rPr>
        <w:t>医疗生育保险管理服务中心</w:t>
      </w:r>
      <w:r>
        <w:rPr>
          <w:rFonts w:hint="default" w:ascii="Times New Roman" w:hAnsi="Times New Roman" w:eastAsia="仿宋_GB2312" w:cs="Times New Roman"/>
          <w:sz w:val="32"/>
          <w:szCs w:val="32"/>
        </w:rPr>
        <w:t>2025年收支总预算</w:t>
      </w:r>
      <w:r>
        <w:rPr>
          <w:rFonts w:hint="default" w:ascii="Times New Roman" w:hAnsi="Times New Roman" w:eastAsia="仿宋_GB2312" w:cs="Times New Roman"/>
          <w:sz w:val="32"/>
          <w:szCs w:val="32"/>
          <w:lang w:val="en-US" w:eastAsia="zh-CN"/>
        </w:rPr>
        <w:t>3008.10</w:t>
      </w:r>
      <w:r>
        <w:rPr>
          <w:rFonts w:hint="default" w:ascii="Times New Roman" w:hAnsi="Times New Roman" w:eastAsia="仿宋_GB2312" w:cs="Times New Roman"/>
          <w:sz w:val="32"/>
          <w:szCs w:val="32"/>
        </w:rPr>
        <w:t>万元，收入包括一般公共预算拨款收入，支出包括：社会保障和就业支出、卫生健康支出、住房保障支出。</w:t>
      </w:r>
    </w:p>
    <w:p w14:paraId="339D4712">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1FAE87F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2025年收入预算</w:t>
      </w:r>
      <w:r>
        <w:rPr>
          <w:rFonts w:hint="default" w:ascii="Times New Roman" w:hAnsi="Times New Roman" w:eastAsia="仿宋_GB2312" w:cs="Times New Roman"/>
          <w:kern w:val="0"/>
          <w:sz w:val="32"/>
          <w:szCs w:val="32"/>
          <w:lang w:val="en-US" w:eastAsia="zh-CN"/>
        </w:rPr>
        <w:t>3008.10</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3008.10</w:t>
      </w:r>
      <w:r>
        <w:rPr>
          <w:rFonts w:hint="default" w:ascii="Times New Roman" w:hAnsi="Times New Roman" w:eastAsia="仿宋_GB2312" w:cs="Times New Roman"/>
          <w:kern w:val="0"/>
          <w:sz w:val="32"/>
          <w:szCs w:val="32"/>
        </w:rPr>
        <w:t>万元。</w:t>
      </w:r>
    </w:p>
    <w:p w14:paraId="08858F2B">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lang w:val="en-US" w:eastAsia="zh-CN"/>
        </w:rPr>
        <w:t>3008.10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3008.10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%，比2024年预算增加</w:t>
      </w:r>
      <w:r>
        <w:rPr>
          <w:rFonts w:hint="default" w:ascii="Times New Roman" w:hAnsi="Times New Roman" w:eastAsia="仿宋_GB2312" w:cs="Times New Roman"/>
          <w:kern w:val="0"/>
          <w:sz w:val="32"/>
          <w:szCs w:val="32"/>
          <w:lang w:val="en-US" w:eastAsia="zh-CN"/>
        </w:rPr>
        <w:t>179.51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6.34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“二乙”人员医疗补助经上级部门协调沟通有大幅增加，</w:t>
      </w:r>
      <w:r>
        <w:rPr>
          <w:rFonts w:hint="default" w:ascii="Times New Roman" w:hAnsi="Times New Roman" w:eastAsia="仿宋_GB2312" w:cs="Times New Roman"/>
          <w:b w:val="0"/>
          <w:bCs/>
          <w:color w:val="000000" w:themeColor="text1"/>
          <w:sz w:val="32"/>
          <w:szCs w:val="32"/>
          <w:lang w:eastAsia="zh-CN"/>
        </w:rPr>
        <w:t>财政补助市级配套资金提高</w:t>
      </w:r>
      <w:r>
        <w:rPr>
          <w:rFonts w:hint="default" w:ascii="Times New Roman" w:hAnsi="Times New Roman" w:eastAsia="仿宋_GB2312" w:cs="Times New Roman"/>
          <w:kern w:val="0"/>
          <w:sz w:val="32"/>
          <w:szCs w:val="32"/>
        </w:rPr>
        <w:t>。</w:t>
      </w:r>
    </w:p>
    <w:p w14:paraId="48F8FDE0">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25BAF51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2025年支出预算</w:t>
      </w:r>
      <w:r>
        <w:rPr>
          <w:rFonts w:hint="default" w:ascii="Times New Roman" w:hAnsi="Times New Roman" w:eastAsia="仿宋_GB2312" w:cs="Times New Roman"/>
          <w:kern w:val="0"/>
          <w:sz w:val="32"/>
          <w:szCs w:val="32"/>
          <w:lang w:val="en-US" w:eastAsia="zh-CN"/>
        </w:rPr>
        <w:t>3008.10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179.51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6.34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“二乙”人员医疗补助经上级部门协调沟通有大幅增加</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509.20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16.93</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2498.90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83.07</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color w:val="000000" w:themeColor="text1"/>
          <w:sz w:val="32"/>
          <w:szCs w:val="32"/>
          <w:lang w:val="en-US" w:eastAsia="zh-CN"/>
        </w:rPr>
        <w:t>财政对城乡居民基本医疗补助、</w:t>
      </w:r>
      <w:r>
        <w:rPr>
          <w:rFonts w:hint="default" w:ascii="Times New Roman" w:hAnsi="Times New Roman" w:eastAsia="仿宋_GB2312" w:cs="Times New Roman"/>
          <w:kern w:val="0"/>
          <w:sz w:val="32"/>
          <w:szCs w:val="32"/>
          <w:lang w:eastAsia="zh-CN"/>
        </w:rPr>
        <w:t>“二乙”人员医疗补助、</w:t>
      </w:r>
      <w:r>
        <w:rPr>
          <w:rFonts w:hint="default" w:ascii="Times New Roman" w:hAnsi="Times New Roman" w:eastAsia="仿宋_GB2312" w:cs="Times New Roman"/>
          <w:color w:val="000000" w:themeColor="text1"/>
          <w:sz w:val="32"/>
          <w:szCs w:val="32"/>
          <w:lang w:val="en-US" w:eastAsia="zh-CN"/>
        </w:rPr>
        <w:t>医疗保障工作经费、</w:t>
      </w:r>
      <w:r>
        <w:rPr>
          <w:rFonts w:hint="default" w:ascii="Times New Roman" w:hAnsi="Times New Roman" w:eastAsia="仿宋_GB2312" w:cs="Times New Roman"/>
          <w:color w:val="000000" w:themeColor="text1"/>
          <w:sz w:val="32"/>
          <w:szCs w:val="32"/>
          <w:lang w:val="en-US" w:eastAsia="zh-CN"/>
        </w:rPr>
        <w:t>计算机网络运行</w:t>
      </w:r>
      <w:r>
        <w:rPr>
          <w:rFonts w:hint="default" w:ascii="Times New Roman" w:hAnsi="Times New Roman" w:eastAsia="仿宋_GB2312" w:cs="Times New Roman"/>
          <w:color w:val="000000" w:themeColor="text1"/>
          <w:sz w:val="32"/>
          <w:szCs w:val="32"/>
          <w:lang w:val="en-US" w:eastAsia="zh-CN"/>
        </w:rPr>
        <w:t>费等</w:t>
      </w:r>
      <w:r>
        <w:rPr>
          <w:rFonts w:hint="default" w:ascii="Times New Roman" w:hAnsi="Times New Roman" w:eastAsia="仿宋_GB2312" w:cs="Times New Roman"/>
          <w:kern w:val="0"/>
          <w:sz w:val="32"/>
          <w:szCs w:val="32"/>
        </w:rPr>
        <w:t>。</w:t>
      </w:r>
    </w:p>
    <w:p w14:paraId="7466347D">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68B76B5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2025年财政拨款收支预算</w:t>
      </w:r>
      <w:r>
        <w:rPr>
          <w:rFonts w:hint="default" w:ascii="Times New Roman" w:hAnsi="Times New Roman" w:eastAsia="仿宋_GB2312" w:cs="Times New Roman"/>
          <w:kern w:val="0"/>
          <w:sz w:val="32"/>
          <w:szCs w:val="32"/>
          <w:lang w:val="en-US" w:eastAsia="zh-CN"/>
        </w:rPr>
        <w:t>3008.10</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kern w:val="0"/>
          <w:sz w:val="32"/>
          <w:szCs w:val="32"/>
          <w:lang w:val="en-US" w:eastAsia="zh-CN"/>
        </w:rPr>
        <w:t>3008.10</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3008.10</w:t>
      </w:r>
      <w:r>
        <w:rPr>
          <w:rFonts w:hint="default" w:ascii="Times New Roman" w:hAnsi="Times New Roman" w:eastAsia="仿宋_GB2312" w:cs="Times New Roman"/>
          <w:kern w:val="0"/>
          <w:sz w:val="32"/>
          <w:szCs w:val="32"/>
        </w:rPr>
        <w:t>万元。支出按功能分类分为：社会保障和就业支出</w:t>
      </w:r>
      <w:r>
        <w:rPr>
          <w:rFonts w:hint="default" w:ascii="Times New Roman" w:hAnsi="Times New Roman" w:eastAsia="仿宋_GB2312" w:cs="Times New Roman"/>
          <w:kern w:val="0"/>
          <w:sz w:val="32"/>
          <w:szCs w:val="32"/>
          <w:lang w:val="en-US" w:eastAsia="zh-CN"/>
        </w:rPr>
        <w:t>86.75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2.88</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2847.09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94.65</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74.26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2.47</w:t>
      </w:r>
      <w:r>
        <w:rPr>
          <w:rFonts w:hint="default" w:ascii="Times New Roman" w:hAnsi="Times New Roman" w:eastAsia="仿宋_GB2312" w:cs="Times New Roman"/>
          <w:kern w:val="0"/>
          <w:sz w:val="32"/>
          <w:szCs w:val="32"/>
        </w:rPr>
        <w:t>%。</w:t>
      </w:r>
    </w:p>
    <w:p w14:paraId="25EE5806">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3B62CD89">
      <w:pPr>
        <w:pStyle w:val="6"/>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0B42E0C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2025年一般公共预算支出</w:t>
      </w:r>
      <w:r>
        <w:rPr>
          <w:rFonts w:hint="default" w:ascii="Times New Roman" w:hAnsi="Times New Roman" w:eastAsia="仿宋_GB2312" w:cs="Times New Roman"/>
          <w:kern w:val="0"/>
          <w:sz w:val="32"/>
          <w:szCs w:val="32"/>
          <w:lang w:val="en-US" w:eastAsia="zh-CN"/>
        </w:rPr>
        <w:t>3008.10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179.51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6.34</w:t>
      </w:r>
      <w:r>
        <w:rPr>
          <w:rFonts w:hint="default" w:ascii="Times New Roman" w:hAnsi="Times New Roman" w:eastAsia="仿宋_GB2312" w:cs="Times New Roman"/>
          <w:kern w:val="0"/>
          <w:sz w:val="32"/>
          <w:szCs w:val="32"/>
        </w:rPr>
        <w:t>%，主要原因：</w:t>
      </w:r>
      <w:r>
        <w:rPr>
          <w:rFonts w:hint="default" w:ascii="Times New Roman" w:hAnsi="Times New Roman" w:eastAsia="仿宋_GB2312" w:cs="Times New Roman"/>
          <w:kern w:val="0"/>
          <w:sz w:val="32"/>
          <w:szCs w:val="32"/>
          <w:lang w:eastAsia="zh-CN"/>
        </w:rPr>
        <w:t>一是“二乙”人员医疗补助经上级部门协调沟通有大幅增加；二是</w:t>
      </w:r>
      <w:r>
        <w:rPr>
          <w:rFonts w:hint="default" w:ascii="Times New Roman" w:hAnsi="Times New Roman" w:eastAsia="仿宋_GB2312" w:cs="Times New Roman"/>
          <w:b w:val="0"/>
          <w:bCs/>
          <w:color w:val="000000" w:themeColor="text1"/>
          <w:sz w:val="32"/>
          <w:szCs w:val="32"/>
          <w:lang w:eastAsia="zh-CN"/>
        </w:rPr>
        <w:t>财政补助市级配套资金提高</w:t>
      </w:r>
      <w:r>
        <w:rPr>
          <w:rFonts w:hint="default" w:ascii="Times New Roman" w:hAnsi="Times New Roman" w:eastAsia="仿宋_GB2312" w:cs="Times New Roman"/>
          <w:kern w:val="0"/>
          <w:sz w:val="32"/>
          <w:szCs w:val="32"/>
        </w:rPr>
        <w:t>。</w:t>
      </w:r>
    </w:p>
    <w:p w14:paraId="1986CFCC">
      <w:pPr>
        <w:pStyle w:val="6"/>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2EFF333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86.75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2.88</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2847.09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94.65</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74.26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2.47</w:t>
      </w:r>
      <w:r>
        <w:rPr>
          <w:rFonts w:hint="default" w:ascii="Times New Roman" w:hAnsi="Times New Roman" w:eastAsia="仿宋_GB2312" w:cs="Times New Roman"/>
          <w:kern w:val="0"/>
          <w:sz w:val="32"/>
          <w:szCs w:val="32"/>
        </w:rPr>
        <w:t>%。</w:t>
      </w:r>
    </w:p>
    <w:p w14:paraId="77ABA998">
      <w:pPr>
        <w:pStyle w:val="6"/>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2BDAE98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、社会保障和就业支出（类）行政事业单位</w:t>
      </w:r>
      <w:r>
        <w:rPr>
          <w:rFonts w:hint="default" w:ascii="Times New Roman" w:hAnsi="Times New Roman" w:eastAsia="仿宋_GB2312" w:cs="Times New Roman"/>
          <w:kern w:val="0"/>
          <w:sz w:val="32"/>
          <w:szCs w:val="32"/>
          <w:lang w:eastAsia="zh-CN"/>
        </w:rPr>
        <w:t>养老支出</w:t>
      </w:r>
      <w:r>
        <w:rPr>
          <w:rFonts w:hint="default" w:ascii="Times New Roman" w:hAnsi="Times New Roman" w:eastAsia="仿宋_GB2312" w:cs="Times New Roman"/>
          <w:kern w:val="0"/>
          <w:sz w:val="32"/>
          <w:szCs w:val="32"/>
        </w:rPr>
        <w:t>（款）归口管理的事业单位离退休（项）2025年预算</w:t>
      </w:r>
      <w:r>
        <w:rPr>
          <w:rFonts w:hint="default" w:ascii="Times New Roman" w:hAnsi="Times New Roman" w:eastAsia="仿宋_GB2312" w:cs="Times New Roman"/>
          <w:kern w:val="0"/>
          <w:sz w:val="32"/>
          <w:szCs w:val="32"/>
          <w:lang w:val="en-US" w:eastAsia="zh-CN"/>
        </w:rPr>
        <w:t>17.40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3.63</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26.36</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b w:val="0"/>
          <w:bCs/>
          <w:color w:val="000000" w:themeColor="text1"/>
          <w:sz w:val="32"/>
          <w:szCs w:val="32"/>
          <w:lang w:eastAsia="zh-CN"/>
        </w:rPr>
        <w:t>新增退休人员</w:t>
      </w:r>
      <w:r>
        <w:rPr>
          <w:rFonts w:hint="default" w:ascii="Times New Roman" w:hAnsi="Times New Roman" w:eastAsia="仿宋_GB2312" w:cs="Times New Roman"/>
          <w:b w:val="0"/>
          <w:bCs/>
          <w:color w:val="000000" w:themeColor="text1"/>
          <w:sz w:val="32"/>
          <w:szCs w:val="32"/>
          <w:lang w:val="en-US" w:eastAsia="zh-CN"/>
        </w:rPr>
        <w:t>1名</w:t>
      </w:r>
      <w:r>
        <w:rPr>
          <w:rFonts w:hint="default" w:ascii="Times New Roman" w:hAnsi="Times New Roman" w:eastAsia="仿宋_GB2312" w:cs="Times New Roman"/>
          <w:kern w:val="0"/>
          <w:sz w:val="32"/>
          <w:szCs w:val="32"/>
        </w:rPr>
        <w:t>。</w:t>
      </w:r>
    </w:p>
    <w:p w14:paraId="5E8F9A5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、社会保障和就业支出（类）行政事业单位</w:t>
      </w:r>
      <w:r>
        <w:rPr>
          <w:rFonts w:hint="default" w:ascii="Times New Roman" w:hAnsi="Times New Roman" w:eastAsia="仿宋_GB2312" w:cs="Times New Roman"/>
          <w:kern w:val="0"/>
          <w:sz w:val="32"/>
          <w:szCs w:val="32"/>
          <w:lang w:eastAsia="zh-CN"/>
        </w:rPr>
        <w:t>养老支出</w:t>
      </w:r>
      <w:r>
        <w:rPr>
          <w:rFonts w:hint="default" w:ascii="Times New Roman" w:hAnsi="Times New Roman" w:eastAsia="仿宋_GB2312" w:cs="Times New Roman"/>
          <w:kern w:val="0"/>
          <w:sz w:val="32"/>
          <w:szCs w:val="32"/>
        </w:rPr>
        <w:t>（款）归口管理的</w:t>
      </w:r>
      <w:r>
        <w:rPr>
          <w:rFonts w:hint="default" w:ascii="Times New Roman" w:hAnsi="Times New Roman" w:eastAsia="仿宋_GB2312" w:cs="Times New Roman"/>
          <w:kern w:val="0"/>
          <w:sz w:val="32"/>
          <w:szCs w:val="32"/>
          <w:lang w:eastAsia="zh-CN"/>
        </w:rPr>
        <w:t>机关</w:t>
      </w:r>
      <w:r>
        <w:rPr>
          <w:rFonts w:hint="default" w:ascii="Times New Roman" w:hAnsi="Times New Roman" w:eastAsia="仿宋_GB2312" w:cs="Times New Roman"/>
          <w:kern w:val="0"/>
          <w:sz w:val="32"/>
          <w:szCs w:val="32"/>
        </w:rPr>
        <w:t>事业单位</w:t>
      </w:r>
      <w:r>
        <w:rPr>
          <w:rFonts w:hint="default" w:ascii="Times New Roman" w:hAnsi="Times New Roman" w:eastAsia="仿宋_GB2312" w:cs="Times New Roman"/>
          <w:kern w:val="0"/>
          <w:sz w:val="32"/>
          <w:szCs w:val="32"/>
          <w:lang w:eastAsia="zh-CN"/>
        </w:rPr>
        <w:t>基本养老保险缴费支出</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45.29</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1.04</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2.35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b w:val="0"/>
          <w:bCs/>
          <w:color w:val="000000" w:themeColor="text1"/>
          <w:sz w:val="32"/>
          <w:szCs w:val="32"/>
          <w:lang w:eastAsia="zh-CN"/>
        </w:rPr>
        <w:t>新进工作人员</w:t>
      </w:r>
      <w:r>
        <w:rPr>
          <w:rFonts w:hint="default" w:ascii="Times New Roman" w:hAnsi="Times New Roman" w:eastAsia="仿宋_GB2312" w:cs="Times New Roman"/>
          <w:b w:val="0"/>
          <w:bCs/>
          <w:color w:val="000000" w:themeColor="text1"/>
          <w:sz w:val="32"/>
          <w:szCs w:val="32"/>
          <w:lang w:val="en-US" w:eastAsia="zh-CN"/>
        </w:rPr>
        <w:t>2名</w:t>
      </w:r>
      <w:r>
        <w:rPr>
          <w:rFonts w:hint="default" w:ascii="Times New Roman" w:hAnsi="Times New Roman" w:eastAsia="仿宋_GB2312" w:cs="Times New Roman"/>
          <w:kern w:val="0"/>
          <w:sz w:val="32"/>
          <w:szCs w:val="32"/>
        </w:rPr>
        <w:t>。</w:t>
      </w:r>
    </w:p>
    <w:p w14:paraId="6081F38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3、社会保障和就业支出（类）行政事业单位</w:t>
      </w:r>
      <w:r>
        <w:rPr>
          <w:rFonts w:hint="default" w:ascii="Times New Roman" w:hAnsi="Times New Roman" w:eastAsia="仿宋_GB2312" w:cs="Times New Roman"/>
          <w:kern w:val="0"/>
          <w:sz w:val="32"/>
          <w:szCs w:val="32"/>
          <w:lang w:eastAsia="zh-CN"/>
        </w:rPr>
        <w:t>养老支出</w:t>
      </w:r>
      <w:r>
        <w:rPr>
          <w:rFonts w:hint="default" w:ascii="Times New Roman" w:hAnsi="Times New Roman" w:eastAsia="仿宋_GB2312" w:cs="Times New Roman"/>
          <w:kern w:val="0"/>
          <w:sz w:val="32"/>
          <w:szCs w:val="32"/>
        </w:rPr>
        <w:t>（款）归口管理的</w:t>
      </w:r>
      <w:r>
        <w:rPr>
          <w:rFonts w:hint="default" w:ascii="Times New Roman" w:hAnsi="Times New Roman" w:eastAsia="仿宋_GB2312" w:cs="Times New Roman"/>
          <w:kern w:val="0"/>
          <w:sz w:val="32"/>
          <w:szCs w:val="32"/>
          <w:lang w:eastAsia="zh-CN"/>
        </w:rPr>
        <w:t>机关</w:t>
      </w:r>
      <w:r>
        <w:rPr>
          <w:rFonts w:hint="default" w:ascii="Times New Roman" w:hAnsi="Times New Roman" w:eastAsia="仿宋_GB2312" w:cs="Times New Roman"/>
          <w:kern w:val="0"/>
          <w:sz w:val="32"/>
          <w:szCs w:val="32"/>
        </w:rPr>
        <w:t>事业单位</w:t>
      </w:r>
      <w:r>
        <w:rPr>
          <w:rFonts w:hint="default" w:ascii="Times New Roman" w:hAnsi="Times New Roman" w:eastAsia="仿宋_GB2312" w:cs="Times New Roman"/>
          <w:kern w:val="0"/>
          <w:sz w:val="32"/>
          <w:szCs w:val="32"/>
          <w:lang w:eastAsia="zh-CN"/>
        </w:rPr>
        <w:t>职业年金缴费支出</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22.64</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0.51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b w:val="0"/>
          <w:bCs/>
          <w:color w:val="000000" w:themeColor="text1"/>
          <w:sz w:val="32"/>
          <w:szCs w:val="32"/>
          <w:lang w:eastAsia="zh-CN"/>
        </w:rPr>
        <w:t>新进工作人员</w:t>
      </w:r>
      <w:r>
        <w:rPr>
          <w:rFonts w:hint="default" w:ascii="Times New Roman" w:hAnsi="Times New Roman" w:eastAsia="仿宋_GB2312" w:cs="Times New Roman"/>
          <w:b w:val="0"/>
          <w:bCs/>
          <w:color w:val="000000" w:themeColor="text1"/>
          <w:sz w:val="32"/>
          <w:szCs w:val="32"/>
          <w:lang w:val="en-US" w:eastAsia="zh-CN"/>
        </w:rPr>
        <w:t>2名</w:t>
      </w:r>
      <w:r>
        <w:rPr>
          <w:rFonts w:hint="default" w:ascii="Times New Roman" w:hAnsi="Times New Roman" w:eastAsia="仿宋_GB2312" w:cs="Times New Roman"/>
          <w:kern w:val="0"/>
          <w:sz w:val="32"/>
          <w:szCs w:val="32"/>
        </w:rPr>
        <w:t>。</w:t>
      </w:r>
    </w:p>
    <w:p w14:paraId="1C5F6EF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其他社会保障和就业支出</w:t>
      </w:r>
      <w:r>
        <w:rPr>
          <w:rFonts w:hint="default" w:ascii="Times New Roman" w:hAnsi="Times New Roman" w:eastAsia="仿宋_GB2312" w:cs="Times New Roman"/>
          <w:kern w:val="0"/>
          <w:sz w:val="32"/>
          <w:szCs w:val="32"/>
        </w:rPr>
        <w:t>（款）归口管理的</w:t>
      </w:r>
      <w:r>
        <w:rPr>
          <w:rFonts w:hint="default" w:ascii="Times New Roman" w:hAnsi="Times New Roman" w:eastAsia="仿宋_GB2312" w:cs="Times New Roman"/>
          <w:kern w:val="0"/>
          <w:sz w:val="32"/>
          <w:szCs w:val="32"/>
          <w:lang w:eastAsia="zh-CN"/>
        </w:rPr>
        <w:t>其他社会保障和就业支出</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1.42</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0.03</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2.15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b w:val="0"/>
          <w:bCs/>
          <w:color w:val="000000" w:themeColor="text1"/>
          <w:sz w:val="32"/>
          <w:szCs w:val="32"/>
          <w:lang w:eastAsia="zh-CN"/>
        </w:rPr>
        <w:t>新进工作人员</w:t>
      </w:r>
      <w:r>
        <w:rPr>
          <w:rFonts w:hint="default" w:ascii="Times New Roman" w:hAnsi="Times New Roman" w:eastAsia="仿宋_GB2312" w:cs="Times New Roman"/>
          <w:b w:val="0"/>
          <w:bCs/>
          <w:color w:val="000000" w:themeColor="text1"/>
          <w:sz w:val="32"/>
          <w:szCs w:val="32"/>
          <w:lang w:val="en-US" w:eastAsia="zh-CN"/>
        </w:rPr>
        <w:t>2名</w:t>
      </w:r>
      <w:r>
        <w:rPr>
          <w:rFonts w:hint="default" w:ascii="Times New Roman" w:hAnsi="Times New Roman" w:eastAsia="仿宋_GB2312" w:cs="Times New Roman"/>
          <w:kern w:val="0"/>
          <w:sz w:val="32"/>
          <w:szCs w:val="32"/>
        </w:rPr>
        <w:t>。</w:t>
      </w:r>
    </w:p>
    <w:p w14:paraId="306979B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支出（类）</w:t>
      </w:r>
      <w:r>
        <w:rPr>
          <w:rFonts w:hint="default" w:ascii="Times New Roman" w:hAnsi="Times New Roman" w:eastAsia="仿宋_GB2312" w:cs="Times New Roman"/>
          <w:kern w:val="0"/>
          <w:sz w:val="32"/>
          <w:szCs w:val="32"/>
          <w:lang w:eastAsia="zh-CN"/>
        </w:rPr>
        <w:t>行政事业单位医疗支出</w:t>
      </w:r>
      <w:r>
        <w:rPr>
          <w:rFonts w:hint="default" w:ascii="Times New Roman" w:hAnsi="Times New Roman" w:eastAsia="仿宋_GB2312" w:cs="Times New Roman"/>
          <w:kern w:val="0"/>
          <w:sz w:val="32"/>
          <w:szCs w:val="32"/>
        </w:rPr>
        <w:t>（款）归口管理的</w:t>
      </w:r>
      <w:r>
        <w:rPr>
          <w:rFonts w:hint="default" w:ascii="Times New Roman" w:hAnsi="Times New Roman" w:eastAsia="仿宋_GB2312" w:cs="Times New Roman"/>
          <w:kern w:val="0"/>
          <w:sz w:val="32"/>
          <w:szCs w:val="32"/>
          <w:lang w:eastAsia="zh-CN"/>
        </w:rPr>
        <w:t>事业单位医疗支出</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14.59</w:t>
      </w:r>
      <w:r>
        <w:rPr>
          <w:rFonts w:hint="default" w:ascii="Times New Roman" w:hAnsi="Times New Roman" w:eastAsia="仿宋_GB2312" w:cs="Times New Roman"/>
          <w:kern w:val="0"/>
          <w:sz w:val="32"/>
          <w:szCs w:val="32"/>
        </w:rPr>
        <w:t>万元，比2024年预算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2.09</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下降</w:t>
      </w:r>
      <w:r>
        <w:rPr>
          <w:rFonts w:hint="default" w:ascii="Times New Roman" w:hAnsi="Times New Roman" w:eastAsia="仿宋_GB2312" w:cs="Times New Roman"/>
          <w:kern w:val="0"/>
          <w:sz w:val="32"/>
          <w:szCs w:val="32"/>
          <w:lang w:val="en-US" w:eastAsia="zh-CN"/>
        </w:rPr>
        <w:t>12.53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b w:val="0"/>
          <w:bCs/>
          <w:color w:val="000000" w:themeColor="text1"/>
          <w:sz w:val="32"/>
          <w:szCs w:val="32"/>
          <w:lang w:eastAsia="zh-CN"/>
        </w:rPr>
        <w:t>基本医疗保险缴费费率有变化</w:t>
      </w:r>
      <w:r>
        <w:rPr>
          <w:rFonts w:hint="default" w:ascii="Times New Roman" w:hAnsi="Times New Roman" w:eastAsia="仿宋_GB2312" w:cs="Times New Roman"/>
          <w:kern w:val="0"/>
          <w:sz w:val="32"/>
          <w:szCs w:val="32"/>
        </w:rPr>
        <w:t>。</w:t>
      </w:r>
    </w:p>
    <w:p w14:paraId="6D5C16E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支出（类）</w:t>
      </w:r>
      <w:r>
        <w:rPr>
          <w:rFonts w:hint="default" w:ascii="Times New Roman" w:hAnsi="Times New Roman" w:eastAsia="仿宋_GB2312" w:cs="Times New Roman"/>
          <w:kern w:val="0"/>
          <w:sz w:val="32"/>
          <w:szCs w:val="32"/>
          <w:lang w:eastAsia="zh-CN"/>
        </w:rPr>
        <w:t>行政事业单位医疗支出</w:t>
      </w:r>
      <w:r>
        <w:rPr>
          <w:rFonts w:hint="default" w:ascii="Times New Roman" w:hAnsi="Times New Roman" w:eastAsia="仿宋_GB2312" w:cs="Times New Roman"/>
          <w:kern w:val="0"/>
          <w:sz w:val="32"/>
          <w:szCs w:val="32"/>
        </w:rPr>
        <w:t>（款）归口管理的</w:t>
      </w:r>
      <w:r>
        <w:rPr>
          <w:rFonts w:hint="default" w:ascii="Times New Roman" w:hAnsi="Times New Roman" w:eastAsia="仿宋_GB2312" w:cs="Times New Roman"/>
          <w:kern w:val="0"/>
          <w:sz w:val="32"/>
          <w:szCs w:val="32"/>
          <w:lang w:eastAsia="zh-CN"/>
        </w:rPr>
        <w:t>公务员医疗补助支出</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7.27</w:t>
      </w:r>
      <w:r>
        <w:rPr>
          <w:rFonts w:hint="default" w:ascii="Times New Roman" w:hAnsi="Times New Roman" w:eastAsia="仿宋_GB2312" w:cs="Times New Roman"/>
          <w:kern w:val="0"/>
          <w:sz w:val="32"/>
          <w:szCs w:val="32"/>
        </w:rPr>
        <w:t>万元，比2024年预算</w:t>
      </w:r>
      <w:r>
        <w:rPr>
          <w:rFonts w:hint="default"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lang w:val="en-US" w:eastAsia="zh-CN"/>
        </w:rPr>
        <w:t>0.41</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增长</w:t>
      </w:r>
      <w:r>
        <w:rPr>
          <w:rFonts w:hint="default" w:ascii="Times New Roman" w:hAnsi="Times New Roman" w:eastAsia="仿宋_GB2312" w:cs="Times New Roman"/>
          <w:kern w:val="0"/>
          <w:sz w:val="32"/>
          <w:szCs w:val="32"/>
          <w:lang w:val="en-US" w:eastAsia="zh-CN"/>
        </w:rPr>
        <w:t>5.98</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b w:val="0"/>
          <w:bCs/>
          <w:color w:val="000000" w:themeColor="text1"/>
          <w:sz w:val="32"/>
          <w:szCs w:val="32"/>
          <w:lang w:eastAsia="zh-CN"/>
        </w:rPr>
        <w:t>新进工作人员</w:t>
      </w:r>
      <w:r>
        <w:rPr>
          <w:rFonts w:hint="default" w:ascii="Times New Roman" w:hAnsi="Times New Roman" w:eastAsia="仿宋_GB2312" w:cs="Times New Roman"/>
          <w:b w:val="0"/>
          <w:bCs/>
          <w:color w:val="000000" w:themeColor="text1"/>
          <w:sz w:val="32"/>
          <w:szCs w:val="32"/>
          <w:lang w:val="en-US" w:eastAsia="zh-CN"/>
        </w:rPr>
        <w:t>2名</w:t>
      </w:r>
      <w:r>
        <w:rPr>
          <w:rFonts w:hint="default" w:ascii="Times New Roman" w:hAnsi="Times New Roman" w:eastAsia="仿宋_GB2312" w:cs="Times New Roman"/>
          <w:kern w:val="0"/>
          <w:sz w:val="32"/>
          <w:szCs w:val="32"/>
        </w:rPr>
        <w:t>。</w:t>
      </w:r>
    </w:p>
    <w:p w14:paraId="62DDEED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支出（类）</w:t>
      </w:r>
      <w:r>
        <w:rPr>
          <w:rFonts w:hint="default" w:ascii="Times New Roman" w:hAnsi="Times New Roman" w:eastAsia="仿宋_GB2312" w:cs="Times New Roman"/>
          <w:kern w:val="0"/>
          <w:sz w:val="32"/>
          <w:szCs w:val="32"/>
          <w:lang w:eastAsia="zh-CN"/>
        </w:rPr>
        <w:t>财政对基本医疗保险基金的补助支出</w:t>
      </w:r>
      <w:r>
        <w:rPr>
          <w:rFonts w:hint="default" w:ascii="Times New Roman" w:hAnsi="Times New Roman" w:eastAsia="仿宋_GB2312" w:cs="Times New Roman"/>
          <w:kern w:val="0"/>
          <w:sz w:val="32"/>
          <w:szCs w:val="32"/>
        </w:rPr>
        <w:t>（款）归口管理的</w:t>
      </w:r>
      <w:r>
        <w:rPr>
          <w:rFonts w:hint="default" w:ascii="Times New Roman" w:hAnsi="Times New Roman" w:eastAsia="仿宋_GB2312" w:cs="Times New Roman"/>
          <w:kern w:val="0"/>
          <w:sz w:val="32"/>
          <w:szCs w:val="32"/>
          <w:lang w:eastAsia="zh-CN"/>
        </w:rPr>
        <w:t>财政对城乡居民基本医疗保险基金的补助支出</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2170</w:t>
      </w:r>
      <w:r>
        <w:rPr>
          <w:rFonts w:hint="default" w:ascii="Times New Roman" w:hAnsi="Times New Roman" w:eastAsia="仿宋_GB2312" w:cs="Times New Roman"/>
          <w:kern w:val="0"/>
          <w:sz w:val="32"/>
          <w:szCs w:val="32"/>
        </w:rPr>
        <w:t>万元，比2024年预算</w:t>
      </w:r>
      <w:r>
        <w:rPr>
          <w:rFonts w:hint="default"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lang w:val="en-US" w:eastAsia="zh-CN"/>
        </w:rPr>
        <w:t>59.5</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增长</w:t>
      </w:r>
      <w:r>
        <w:rPr>
          <w:rFonts w:hint="default" w:ascii="Times New Roman" w:hAnsi="Times New Roman" w:eastAsia="仿宋_GB2312" w:cs="Times New Roman"/>
          <w:kern w:val="0"/>
          <w:sz w:val="32"/>
          <w:szCs w:val="32"/>
          <w:lang w:val="en-US" w:eastAsia="zh-CN"/>
        </w:rPr>
        <w:t>2.82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b w:val="0"/>
          <w:bCs/>
          <w:color w:val="000000" w:themeColor="text1"/>
          <w:sz w:val="32"/>
          <w:szCs w:val="32"/>
          <w:lang w:eastAsia="zh-CN"/>
        </w:rPr>
        <w:t>财政补助市级配套资金提高</w:t>
      </w:r>
      <w:r>
        <w:rPr>
          <w:rFonts w:hint="default" w:ascii="Times New Roman" w:hAnsi="Times New Roman" w:eastAsia="仿宋_GB2312" w:cs="Times New Roman"/>
          <w:kern w:val="0"/>
          <w:sz w:val="32"/>
          <w:szCs w:val="32"/>
        </w:rPr>
        <w:t>。</w:t>
      </w:r>
    </w:p>
    <w:p w14:paraId="4EA6840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支出（类）</w:t>
      </w:r>
      <w:r>
        <w:rPr>
          <w:rFonts w:hint="default" w:ascii="Times New Roman" w:hAnsi="Times New Roman" w:eastAsia="仿宋_GB2312" w:cs="Times New Roman"/>
          <w:kern w:val="0"/>
          <w:sz w:val="32"/>
          <w:szCs w:val="32"/>
          <w:lang w:eastAsia="zh-CN"/>
        </w:rPr>
        <w:t>医疗保障管理事务支出</w:t>
      </w:r>
      <w:r>
        <w:rPr>
          <w:rFonts w:hint="default" w:ascii="Times New Roman" w:hAnsi="Times New Roman" w:eastAsia="仿宋_GB2312" w:cs="Times New Roman"/>
          <w:kern w:val="0"/>
          <w:sz w:val="32"/>
          <w:szCs w:val="32"/>
        </w:rPr>
        <w:t>（款）归口管理的</w:t>
      </w:r>
      <w:r>
        <w:rPr>
          <w:rFonts w:hint="default" w:ascii="Times New Roman" w:hAnsi="Times New Roman" w:eastAsia="仿宋_GB2312" w:cs="Times New Roman"/>
          <w:kern w:val="0"/>
          <w:sz w:val="32"/>
          <w:szCs w:val="32"/>
          <w:lang w:eastAsia="zh-CN"/>
        </w:rPr>
        <w:t>医疗保障经办事务支出</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655.24</w:t>
      </w:r>
      <w:r>
        <w:rPr>
          <w:rFonts w:hint="default" w:ascii="Times New Roman" w:hAnsi="Times New Roman" w:eastAsia="仿宋_GB2312" w:cs="Times New Roman"/>
          <w:kern w:val="0"/>
          <w:sz w:val="32"/>
          <w:szCs w:val="32"/>
        </w:rPr>
        <w:t>万元，比2024年预算</w:t>
      </w:r>
      <w:r>
        <w:rPr>
          <w:rFonts w:hint="default"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lang w:val="en-US" w:eastAsia="zh-CN"/>
        </w:rPr>
        <w:t>269.42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增长</w:t>
      </w:r>
      <w:r>
        <w:rPr>
          <w:rFonts w:hint="default" w:ascii="Times New Roman" w:hAnsi="Times New Roman" w:eastAsia="仿宋_GB2312" w:cs="Times New Roman"/>
          <w:kern w:val="0"/>
          <w:sz w:val="32"/>
          <w:szCs w:val="32"/>
          <w:lang w:val="en-US" w:eastAsia="zh-CN"/>
        </w:rPr>
        <w:t>69.83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b w:val="0"/>
          <w:bCs/>
          <w:color w:val="000000" w:themeColor="text1"/>
          <w:sz w:val="32"/>
          <w:szCs w:val="32"/>
          <w:lang w:eastAsia="zh-CN"/>
        </w:rPr>
        <w:t>“二乙”人员医疗补助资金有大幅增加，同时该项目由其他优抚对象医疗支出（项）合并至医疗保障经办事务支出（项）</w:t>
      </w:r>
      <w:r>
        <w:rPr>
          <w:rFonts w:hint="default" w:ascii="Times New Roman" w:hAnsi="Times New Roman" w:eastAsia="仿宋_GB2312" w:cs="Times New Roman"/>
          <w:kern w:val="0"/>
          <w:sz w:val="32"/>
          <w:szCs w:val="32"/>
        </w:rPr>
        <w:t>。</w:t>
      </w:r>
    </w:p>
    <w:p w14:paraId="4A2E7FC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、住房保障支出（类）住房改革支出（款）住房公积金（项）2025年预算</w:t>
      </w:r>
      <w:r>
        <w:rPr>
          <w:rFonts w:hint="default" w:ascii="Times New Roman" w:hAnsi="Times New Roman" w:eastAsia="仿宋_GB2312" w:cs="Times New Roman"/>
          <w:kern w:val="0"/>
          <w:sz w:val="32"/>
          <w:szCs w:val="32"/>
          <w:lang w:val="en-US" w:eastAsia="zh-CN"/>
        </w:rPr>
        <w:t>43.57</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4.39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单位一名员工退休</w:t>
      </w:r>
      <w:r>
        <w:rPr>
          <w:rFonts w:hint="default" w:ascii="Times New Roman" w:hAnsi="Times New Roman" w:eastAsia="仿宋_GB2312" w:cs="Times New Roman"/>
          <w:kern w:val="0"/>
          <w:sz w:val="32"/>
          <w:szCs w:val="32"/>
        </w:rPr>
        <w:t>。</w:t>
      </w:r>
    </w:p>
    <w:p w14:paraId="3D8120E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、住房保障支出（类）住房改革支出（款）</w:t>
      </w:r>
      <w:r>
        <w:rPr>
          <w:rFonts w:hint="default" w:ascii="Times New Roman" w:hAnsi="Times New Roman" w:eastAsia="仿宋_GB2312" w:cs="Times New Roman"/>
          <w:kern w:val="0"/>
          <w:sz w:val="32"/>
          <w:szCs w:val="32"/>
          <w:lang w:eastAsia="zh-CN"/>
        </w:rPr>
        <w:t>提租补贴</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12.54</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0.11</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0.87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单位一名员工退休</w:t>
      </w:r>
      <w:r>
        <w:rPr>
          <w:rFonts w:hint="default" w:ascii="Times New Roman" w:hAnsi="Times New Roman" w:eastAsia="仿宋_GB2312" w:cs="Times New Roman"/>
          <w:kern w:val="0"/>
          <w:sz w:val="32"/>
          <w:szCs w:val="32"/>
        </w:rPr>
        <w:t>。</w:t>
      </w:r>
    </w:p>
    <w:p w14:paraId="798482D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、住房保障支出（类）住房改革支出（款）</w:t>
      </w:r>
      <w:r>
        <w:rPr>
          <w:rFonts w:hint="default" w:ascii="Times New Roman" w:hAnsi="Times New Roman" w:eastAsia="仿宋_GB2312" w:cs="Times New Roman"/>
          <w:kern w:val="0"/>
          <w:sz w:val="32"/>
          <w:szCs w:val="32"/>
          <w:lang w:eastAsia="zh-CN"/>
        </w:rPr>
        <w:t>购房补贴</w:t>
      </w:r>
      <w:r>
        <w:rPr>
          <w:rFonts w:hint="default" w:ascii="Times New Roman" w:hAnsi="Times New Roman" w:eastAsia="仿宋_GB2312" w:cs="Times New Roman"/>
          <w:kern w:val="0"/>
          <w:sz w:val="32"/>
          <w:szCs w:val="32"/>
        </w:rPr>
        <w:t>（项）2025年预算</w:t>
      </w:r>
      <w:r>
        <w:rPr>
          <w:rFonts w:hint="default" w:ascii="Times New Roman" w:hAnsi="Times New Roman" w:eastAsia="仿宋_GB2312" w:cs="Times New Roman"/>
          <w:kern w:val="0"/>
          <w:sz w:val="32"/>
          <w:szCs w:val="32"/>
          <w:lang w:val="en-US" w:eastAsia="zh-CN"/>
        </w:rPr>
        <w:t>18.15</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0.84</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4.42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单位一名员工退休</w:t>
      </w:r>
      <w:r>
        <w:rPr>
          <w:rFonts w:hint="default" w:ascii="Times New Roman" w:hAnsi="Times New Roman" w:eastAsia="仿宋_GB2312" w:cs="Times New Roman"/>
          <w:kern w:val="0"/>
          <w:sz w:val="32"/>
          <w:szCs w:val="32"/>
        </w:rPr>
        <w:t>。</w:t>
      </w:r>
    </w:p>
    <w:p w14:paraId="106998C7">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38DE022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2025年一般公共预算基本支出</w:t>
      </w:r>
      <w:r>
        <w:rPr>
          <w:rFonts w:hint="default" w:ascii="Times New Roman" w:hAnsi="Times New Roman" w:eastAsia="仿宋_GB2312" w:cs="Times New Roman"/>
          <w:kern w:val="0"/>
          <w:sz w:val="32"/>
          <w:szCs w:val="32"/>
          <w:lang w:val="en-US" w:eastAsia="zh-CN"/>
        </w:rPr>
        <w:t>509.20</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475.60</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33.60</w:t>
      </w:r>
      <w:r>
        <w:rPr>
          <w:rFonts w:hint="default" w:ascii="Times New Roman" w:hAnsi="Times New Roman" w:eastAsia="仿宋_GB2312" w:cs="Times New Roman"/>
          <w:kern w:val="0"/>
          <w:sz w:val="32"/>
          <w:szCs w:val="32"/>
        </w:rPr>
        <w:t>万元。</w:t>
      </w:r>
    </w:p>
    <w:p w14:paraId="719B5C5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475.60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w:t>
      </w:r>
      <w:r>
        <w:rPr>
          <w:rFonts w:hint="default" w:ascii="Times New Roman" w:hAnsi="Times New Roman" w:eastAsia="仿宋_GB2312" w:cs="Times New Roman"/>
          <w:kern w:val="0"/>
          <w:sz w:val="32"/>
          <w:szCs w:val="32"/>
          <w:lang w:eastAsia="zh-CN"/>
        </w:rPr>
        <w:t>办公费</w:t>
      </w:r>
      <w:r>
        <w:rPr>
          <w:rFonts w:hint="default" w:ascii="Times New Roman" w:hAnsi="Times New Roman" w:eastAsia="仿宋_GB2312" w:cs="Times New Roman"/>
          <w:kern w:val="0"/>
          <w:sz w:val="32"/>
          <w:szCs w:val="32"/>
        </w:rPr>
        <w:t>、其他</w:t>
      </w:r>
      <w:r>
        <w:rPr>
          <w:rFonts w:hint="default" w:ascii="Times New Roman" w:hAnsi="Times New Roman" w:eastAsia="仿宋_GB2312" w:cs="Times New Roman"/>
          <w:kern w:val="0"/>
          <w:sz w:val="32"/>
          <w:szCs w:val="32"/>
          <w:lang w:eastAsia="zh-CN"/>
        </w:rPr>
        <w:t>商品和服务</w:t>
      </w:r>
      <w:r>
        <w:rPr>
          <w:rFonts w:hint="default" w:ascii="Times New Roman" w:hAnsi="Times New Roman" w:eastAsia="仿宋_GB2312" w:cs="Times New Roman"/>
          <w:kern w:val="0"/>
          <w:sz w:val="32"/>
          <w:szCs w:val="32"/>
        </w:rPr>
        <w:t>支出、退休费、生活补助、医疗费补助、</w:t>
      </w:r>
      <w:r>
        <w:rPr>
          <w:rFonts w:hint="default" w:ascii="Times New Roman" w:hAnsi="Times New Roman" w:eastAsia="仿宋_GB2312" w:cs="Times New Roman"/>
          <w:kern w:val="0"/>
          <w:sz w:val="32"/>
          <w:szCs w:val="32"/>
          <w:lang w:eastAsia="zh-CN"/>
        </w:rPr>
        <w:t>奖励</w:t>
      </w:r>
      <w:r>
        <w:rPr>
          <w:rFonts w:hint="default" w:ascii="Times New Roman" w:hAnsi="Times New Roman" w:eastAsia="仿宋_GB2312" w:cs="Times New Roman"/>
          <w:kern w:val="0"/>
          <w:sz w:val="32"/>
          <w:szCs w:val="32"/>
        </w:rPr>
        <w:t>金、对其他个人和家庭的补助支出。</w:t>
      </w:r>
    </w:p>
    <w:p w14:paraId="0C6EDF47">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33.60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其他商品服务支出等。</w:t>
      </w:r>
    </w:p>
    <w:p w14:paraId="57744107">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02748E2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2025年没有政府性基金预算拨款收入，也没有使用政府性基金预算拨款安排的支出。</w:t>
      </w:r>
    </w:p>
    <w:p w14:paraId="206CC962">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5118E60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5235DD6E">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29597EF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2025年没有使用一般公共预算拨款、政府性基金预算拨款、国有资本经营预算拨款、财政专户管理资金和单位资金安排的项目支出。</w:t>
      </w:r>
    </w:p>
    <w:p w14:paraId="5BFF3F00">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1A85E9B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2025年没有使用一般公共预算拨款、政府性基金预算拨款、国有资本经营预算拨款、财政专户管理资金和单位资金安排的政府采购支出。</w:t>
      </w:r>
    </w:p>
    <w:p w14:paraId="1AE41F74">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42E963D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2025年没有安排政府购买服务支出。</w:t>
      </w:r>
    </w:p>
    <w:p w14:paraId="547B2684">
      <w:pPr>
        <w:pStyle w:val="6"/>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w:t>
      </w:r>
      <w:r>
        <w:rPr>
          <w:rFonts w:hint="default" w:ascii="Times New Roman" w:hAnsi="Times New Roman" w:eastAsia="黑体" w:cs="Times New Roman"/>
          <w:sz w:val="32"/>
          <w:szCs w:val="32"/>
        </w:rPr>
        <w:t>2025</w:t>
      </w:r>
      <w:r>
        <w:rPr>
          <w:rFonts w:hint="default" w:ascii="Times New Roman" w:hAnsi="Times New Roman" w:eastAsia="黑体" w:cs="Times New Roman"/>
          <w:sz w:val="32"/>
          <w:szCs w:val="32"/>
        </w:rPr>
        <w:t>年通用资产配置支出表的说明</w:t>
      </w:r>
    </w:p>
    <w:p w14:paraId="0926456F">
      <w:pPr>
        <w:pStyle w:val="6"/>
        <w:adjustRightInd w:val="0"/>
        <w:snapToGrid w:val="0"/>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w:t>
      </w:r>
      <w:r>
        <w:rPr>
          <w:rFonts w:hint="default" w:ascii="Times New Roman" w:hAnsi="Times New Roman" w:eastAsia="仿宋_GB2312" w:cs="Times New Roman"/>
          <w:sz w:val="32"/>
          <w:szCs w:val="32"/>
        </w:rPr>
        <w:t>年预算安排通用资产配置支出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情况无变化维持稳定</w:t>
      </w:r>
      <w:r>
        <w:rPr>
          <w:rFonts w:hint="default" w:ascii="Times New Roman" w:hAnsi="Times New Roman" w:eastAsia="仿宋_GB2312" w:cs="Times New Roman"/>
          <w:sz w:val="32"/>
          <w:szCs w:val="32"/>
        </w:rPr>
        <w:t>。</w:t>
      </w:r>
    </w:p>
    <w:p w14:paraId="37B06B6F">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十三、其他重要事项情况说明</w:t>
      </w:r>
    </w:p>
    <w:p w14:paraId="72B59E8D">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13C229C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医疗生育经办费</w:t>
      </w:r>
      <w:r>
        <w:rPr>
          <w:rFonts w:hint="default" w:ascii="Times New Roman" w:hAnsi="Times New Roman" w:eastAsia="仿宋_GB2312" w:cs="Times New Roman"/>
          <w:kern w:val="0"/>
          <w:sz w:val="32"/>
          <w:szCs w:val="32"/>
        </w:rPr>
        <w:t>”项目。</w:t>
      </w:r>
    </w:p>
    <w:p w14:paraId="13DCA2E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color w:val="000000" w:themeColor="text1"/>
          <w:sz w:val="32"/>
          <w:szCs w:val="32"/>
        </w:rPr>
        <w:t>贯彻落实医疗工伤生育保险政策，体现社会保障公平作用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维护参保人员合法权益，提高社会群体对医疗工伤生育保险认识及参保积极性，促进社会保障事业健康发展；建造高效稳定的社保经办队伍，严格四项基金管理、待遇审核、支付</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不断提高城镇民医疗保险参保率，不断提高服务对象满意度。</w:t>
      </w:r>
    </w:p>
    <w:p w14:paraId="6BB66371">
      <w:pPr>
        <w:keepNext w:val="0"/>
        <w:keepLines w:val="0"/>
        <w:pageBreakBefore w:val="0"/>
        <w:widowControl w:val="0"/>
        <w:kinsoku w:val="0"/>
        <w:wordWrap/>
        <w:overflowPunct w:val="0"/>
        <w:topLinePunct w:val="0"/>
        <w:autoSpaceDE w:val="0"/>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000000" w:themeColor="text1"/>
          <w:sz w:val="32"/>
          <w:szCs w:val="32"/>
        </w:rPr>
        <w:t>《社会保险法》《社会保险经办条例》“县级以上地方人民政府应当加强对本行政区域社会保险经办工作的领导，加强社会保险经办能力建设，为社会保险经办工作提供保障。”</w:t>
      </w:r>
    </w:p>
    <w:p w14:paraId="1741BC1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354EAD71">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2025年1月1日至2025年12月31日。</w:t>
      </w:r>
    </w:p>
    <w:p w14:paraId="398CBA4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color w:val="000000" w:themeColor="text1"/>
          <w:sz w:val="32"/>
          <w:szCs w:val="32"/>
          <w:lang w:eastAsia="zh-CN"/>
        </w:rPr>
        <w:t>日常</w:t>
      </w:r>
      <w:r>
        <w:rPr>
          <w:rFonts w:hint="default" w:ascii="Times New Roman" w:hAnsi="Times New Roman" w:eastAsia="仿宋_GB2312" w:cs="Times New Roman"/>
          <w:color w:val="000000" w:themeColor="text1"/>
          <w:sz w:val="32"/>
          <w:szCs w:val="32"/>
        </w:rPr>
        <w:t>邮电费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维修（护）费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印刷费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办公费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差旅费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政策宣传</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医保经办政策培训基层工作人员业务培训等。</w:t>
      </w:r>
    </w:p>
    <w:p w14:paraId="58A75724">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36万元。</w:t>
      </w:r>
    </w:p>
    <w:p w14:paraId="173C404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14"/>
        <w:gridCol w:w="726"/>
        <w:gridCol w:w="1732"/>
        <w:gridCol w:w="1334"/>
        <w:gridCol w:w="1125"/>
        <w:gridCol w:w="1478"/>
        <w:gridCol w:w="283"/>
        <w:gridCol w:w="1315"/>
      </w:tblGrid>
      <w:tr w14:paraId="4EE0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9"/>
            <w:tcBorders>
              <w:top w:val="nil"/>
              <w:left w:val="nil"/>
              <w:bottom w:val="nil"/>
              <w:right w:val="nil"/>
            </w:tcBorders>
            <w:vAlign w:val="center"/>
          </w:tcPr>
          <w:p w14:paraId="1679B243">
            <w:pPr>
              <w:keepNext w:val="0"/>
              <w:keepLines w:val="0"/>
              <w:widowControl/>
              <w:suppressLineNumbers w:val="0"/>
              <w:jc w:val="center"/>
              <w:textAlignment w:val="center"/>
              <w:rPr>
                <w:rFonts w:hint="default" w:ascii="Times New Roman" w:hAnsi="Times New Roman" w:cs="Times New Roman"/>
                <w:b/>
                <w:bCs/>
                <w:szCs w:val="32"/>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4E47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9"/>
            <w:tcBorders>
              <w:top w:val="nil"/>
              <w:left w:val="nil"/>
              <w:right w:val="nil"/>
            </w:tcBorders>
            <w:vAlign w:val="center"/>
          </w:tcPr>
          <w:p w14:paraId="4089EC4D">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2025  年度）</w:t>
            </w:r>
          </w:p>
        </w:tc>
      </w:tr>
      <w:tr w14:paraId="3AC5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53" w:type="dxa"/>
            <w:gridSpan w:val="3"/>
            <w:tcBorders>
              <w:tl2br w:val="nil"/>
              <w:tr2bl w:val="nil"/>
            </w:tcBorders>
            <w:vAlign w:val="center"/>
          </w:tcPr>
          <w:p w14:paraId="0447D9E2">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267" w:type="dxa"/>
            <w:gridSpan w:val="6"/>
            <w:tcBorders>
              <w:tl2br w:val="nil"/>
              <w:tr2bl w:val="nil"/>
            </w:tcBorders>
            <w:vAlign w:val="center"/>
          </w:tcPr>
          <w:p w14:paraId="5BD27ABD">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医疗生育保险经办费</w:t>
            </w:r>
          </w:p>
        </w:tc>
      </w:tr>
      <w:tr w14:paraId="41B0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dxa"/>
            <w:gridSpan w:val="3"/>
            <w:tcBorders>
              <w:tl2br w:val="nil"/>
              <w:tr2bl w:val="nil"/>
            </w:tcBorders>
            <w:vAlign w:val="center"/>
          </w:tcPr>
          <w:p w14:paraId="5299770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主管部门及代码</w:t>
            </w:r>
          </w:p>
        </w:tc>
        <w:tc>
          <w:tcPr>
            <w:tcW w:w="3066" w:type="dxa"/>
            <w:gridSpan w:val="2"/>
            <w:tcBorders>
              <w:tl2br w:val="nil"/>
              <w:tr2bl w:val="nil"/>
            </w:tcBorders>
            <w:vAlign w:val="center"/>
          </w:tcPr>
          <w:p w14:paraId="560BB8B3">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[107]淮北市医疗保障局</w:t>
            </w:r>
          </w:p>
        </w:tc>
        <w:tc>
          <w:tcPr>
            <w:tcW w:w="2886" w:type="dxa"/>
            <w:gridSpan w:val="3"/>
            <w:tcBorders>
              <w:tl2br w:val="nil"/>
              <w:tr2bl w:val="nil"/>
            </w:tcBorders>
            <w:vAlign w:val="center"/>
          </w:tcPr>
          <w:p w14:paraId="3CE1D8D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实施单位</w:t>
            </w:r>
          </w:p>
        </w:tc>
        <w:tc>
          <w:tcPr>
            <w:tcW w:w="1315" w:type="dxa"/>
            <w:tcBorders>
              <w:tl2br w:val="nil"/>
              <w:tr2bl w:val="nil"/>
            </w:tcBorders>
            <w:vAlign w:val="center"/>
          </w:tcPr>
          <w:p w14:paraId="0021F8B0">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淮北市医疗生育保险管理服务中心</w:t>
            </w:r>
          </w:p>
        </w:tc>
      </w:tr>
      <w:tr w14:paraId="3FBA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dxa"/>
            <w:gridSpan w:val="3"/>
            <w:tcBorders>
              <w:tl2br w:val="nil"/>
              <w:tr2bl w:val="nil"/>
            </w:tcBorders>
            <w:vAlign w:val="center"/>
          </w:tcPr>
          <w:p w14:paraId="1C2EC463">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项目属性</w:t>
            </w:r>
          </w:p>
        </w:tc>
        <w:tc>
          <w:tcPr>
            <w:tcW w:w="3066" w:type="dxa"/>
            <w:gridSpan w:val="2"/>
            <w:tcBorders>
              <w:tl2br w:val="nil"/>
              <w:tr2bl w:val="nil"/>
            </w:tcBorders>
            <w:vAlign w:val="center"/>
          </w:tcPr>
          <w:p w14:paraId="197D7F92">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常年项目</w:t>
            </w:r>
          </w:p>
        </w:tc>
        <w:tc>
          <w:tcPr>
            <w:tcW w:w="2886" w:type="dxa"/>
            <w:gridSpan w:val="3"/>
            <w:tcBorders>
              <w:tl2br w:val="nil"/>
              <w:tr2bl w:val="nil"/>
            </w:tcBorders>
            <w:vAlign w:val="center"/>
          </w:tcPr>
          <w:p w14:paraId="6AD16DBF">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项目期</w:t>
            </w:r>
          </w:p>
        </w:tc>
        <w:tc>
          <w:tcPr>
            <w:tcW w:w="1315" w:type="dxa"/>
            <w:tcBorders>
              <w:tl2br w:val="nil"/>
              <w:tr2bl w:val="nil"/>
            </w:tcBorders>
            <w:vAlign w:val="center"/>
          </w:tcPr>
          <w:p w14:paraId="769A04A4">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1年 </w:t>
            </w:r>
          </w:p>
        </w:tc>
      </w:tr>
      <w:tr w14:paraId="70C6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dxa"/>
            <w:gridSpan w:val="3"/>
            <w:vMerge w:val="restart"/>
            <w:tcBorders>
              <w:tl2br w:val="nil"/>
              <w:tr2bl w:val="nil"/>
            </w:tcBorders>
            <w:vAlign w:val="center"/>
          </w:tcPr>
          <w:p w14:paraId="20C697A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项目资金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（万元）</w:t>
            </w:r>
          </w:p>
        </w:tc>
        <w:tc>
          <w:tcPr>
            <w:tcW w:w="1732" w:type="dxa"/>
            <w:tcBorders>
              <w:tl2br w:val="nil"/>
              <w:tr2bl w:val="nil"/>
            </w:tcBorders>
            <w:vAlign w:val="center"/>
          </w:tcPr>
          <w:p w14:paraId="2193C128">
            <w:pPr>
              <w:keepNext w:val="0"/>
              <w:keepLines w:val="0"/>
              <w:widowControl/>
              <w:suppressLineNumbers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中期资金总额：</w:t>
            </w:r>
          </w:p>
        </w:tc>
        <w:tc>
          <w:tcPr>
            <w:tcW w:w="1334" w:type="dxa"/>
            <w:tcBorders>
              <w:tl2br w:val="nil"/>
              <w:tr2bl w:val="nil"/>
            </w:tcBorders>
            <w:vAlign w:val="center"/>
          </w:tcPr>
          <w:p w14:paraId="7286E540">
            <w:pPr>
              <w:keepNext w:val="0"/>
              <w:keepLines w:val="0"/>
              <w:widowControl/>
              <w:suppressLineNumbers w:val="0"/>
              <w:jc w:val="righ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36.00 </w:t>
            </w:r>
          </w:p>
        </w:tc>
        <w:tc>
          <w:tcPr>
            <w:tcW w:w="2886" w:type="dxa"/>
            <w:gridSpan w:val="3"/>
            <w:tcBorders>
              <w:tl2br w:val="nil"/>
              <w:tr2bl w:val="nil"/>
            </w:tcBorders>
            <w:vAlign w:val="center"/>
          </w:tcPr>
          <w:p w14:paraId="3B6BBC8D">
            <w:pPr>
              <w:keepNext w:val="0"/>
              <w:keepLines w:val="0"/>
              <w:widowControl/>
              <w:suppressLineNumbers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年度资金总额：</w:t>
            </w:r>
          </w:p>
        </w:tc>
        <w:tc>
          <w:tcPr>
            <w:tcW w:w="1315" w:type="dxa"/>
            <w:tcBorders>
              <w:tl2br w:val="nil"/>
              <w:tr2bl w:val="nil"/>
            </w:tcBorders>
            <w:vAlign w:val="center"/>
          </w:tcPr>
          <w:p w14:paraId="44C15D9C">
            <w:pPr>
              <w:keepNext w:val="0"/>
              <w:keepLines w:val="0"/>
              <w:widowControl/>
              <w:suppressLineNumbers w:val="0"/>
              <w:jc w:val="righ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36.00 </w:t>
            </w:r>
          </w:p>
        </w:tc>
      </w:tr>
      <w:tr w14:paraId="738A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dxa"/>
            <w:gridSpan w:val="3"/>
            <w:vMerge w:val="continue"/>
            <w:tcBorders>
              <w:tl2br w:val="nil"/>
              <w:tr2bl w:val="nil"/>
            </w:tcBorders>
            <w:vAlign w:val="center"/>
          </w:tcPr>
          <w:p w14:paraId="48BC50CE">
            <w:pPr>
              <w:jc w:val="center"/>
              <w:rPr>
                <w:rFonts w:hint="eastAsia" w:ascii="仿宋_GB2312" w:hAnsi="仿宋_GB2312" w:eastAsia="仿宋_GB2312" w:cs="仿宋_GB2312"/>
                <w:sz w:val="18"/>
                <w:szCs w:val="18"/>
              </w:rPr>
            </w:pPr>
          </w:p>
        </w:tc>
        <w:tc>
          <w:tcPr>
            <w:tcW w:w="1732" w:type="dxa"/>
            <w:tcBorders>
              <w:tl2br w:val="nil"/>
              <w:tr2bl w:val="nil"/>
            </w:tcBorders>
            <w:vAlign w:val="center"/>
          </w:tcPr>
          <w:p w14:paraId="032C28E1">
            <w:pPr>
              <w:keepNext w:val="0"/>
              <w:keepLines w:val="0"/>
              <w:widowControl/>
              <w:suppressLineNumbers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334" w:type="dxa"/>
            <w:tcBorders>
              <w:tl2br w:val="nil"/>
              <w:tr2bl w:val="nil"/>
            </w:tcBorders>
            <w:vAlign w:val="center"/>
          </w:tcPr>
          <w:p w14:paraId="7CCF74F1">
            <w:pPr>
              <w:keepNext w:val="0"/>
              <w:keepLines w:val="0"/>
              <w:widowControl/>
              <w:suppressLineNumbers w:val="0"/>
              <w:jc w:val="righ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36.00 </w:t>
            </w:r>
          </w:p>
        </w:tc>
        <w:tc>
          <w:tcPr>
            <w:tcW w:w="2886" w:type="dxa"/>
            <w:gridSpan w:val="3"/>
            <w:tcBorders>
              <w:tl2br w:val="nil"/>
              <w:tr2bl w:val="nil"/>
            </w:tcBorders>
            <w:vAlign w:val="center"/>
          </w:tcPr>
          <w:p w14:paraId="6409781E">
            <w:pPr>
              <w:keepNext w:val="0"/>
              <w:keepLines w:val="0"/>
              <w:widowControl/>
              <w:suppressLineNumbers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315" w:type="dxa"/>
            <w:tcBorders>
              <w:tl2br w:val="nil"/>
              <w:tr2bl w:val="nil"/>
            </w:tcBorders>
            <w:vAlign w:val="center"/>
          </w:tcPr>
          <w:p w14:paraId="25625B72">
            <w:pPr>
              <w:keepNext w:val="0"/>
              <w:keepLines w:val="0"/>
              <w:widowControl/>
              <w:suppressLineNumbers w:val="0"/>
              <w:jc w:val="righ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36.00 </w:t>
            </w:r>
          </w:p>
        </w:tc>
      </w:tr>
      <w:tr w14:paraId="1C0D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dxa"/>
            <w:gridSpan w:val="3"/>
            <w:vMerge w:val="continue"/>
            <w:tcBorders>
              <w:tl2br w:val="nil"/>
              <w:tr2bl w:val="nil"/>
            </w:tcBorders>
            <w:vAlign w:val="center"/>
          </w:tcPr>
          <w:p w14:paraId="0B9A3F93">
            <w:pPr>
              <w:jc w:val="center"/>
              <w:rPr>
                <w:rFonts w:hint="eastAsia" w:ascii="仿宋_GB2312" w:hAnsi="仿宋_GB2312" w:eastAsia="仿宋_GB2312" w:cs="仿宋_GB2312"/>
                <w:sz w:val="18"/>
                <w:szCs w:val="18"/>
              </w:rPr>
            </w:pPr>
          </w:p>
        </w:tc>
        <w:tc>
          <w:tcPr>
            <w:tcW w:w="1732" w:type="dxa"/>
            <w:tcBorders>
              <w:tl2br w:val="nil"/>
              <w:tr2bl w:val="nil"/>
            </w:tcBorders>
            <w:vAlign w:val="center"/>
          </w:tcPr>
          <w:p w14:paraId="6DD3A1BE">
            <w:pPr>
              <w:keepNext w:val="0"/>
              <w:keepLines w:val="0"/>
              <w:widowControl/>
              <w:suppressLineNumbers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334" w:type="dxa"/>
            <w:tcBorders>
              <w:tl2br w:val="nil"/>
              <w:tr2bl w:val="nil"/>
            </w:tcBorders>
            <w:vAlign w:val="center"/>
          </w:tcPr>
          <w:p w14:paraId="2ED50087">
            <w:pPr>
              <w:keepNext w:val="0"/>
              <w:keepLines w:val="0"/>
              <w:widowControl/>
              <w:suppressLineNumbers w:val="0"/>
              <w:jc w:val="righ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c>
          <w:tcPr>
            <w:tcW w:w="2886" w:type="dxa"/>
            <w:gridSpan w:val="3"/>
            <w:tcBorders>
              <w:tl2br w:val="nil"/>
              <w:tr2bl w:val="nil"/>
            </w:tcBorders>
            <w:vAlign w:val="center"/>
          </w:tcPr>
          <w:p w14:paraId="7079348B">
            <w:pPr>
              <w:keepNext w:val="0"/>
              <w:keepLines w:val="0"/>
              <w:widowControl/>
              <w:suppressLineNumbers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315" w:type="dxa"/>
            <w:tcBorders>
              <w:tl2br w:val="nil"/>
              <w:tr2bl w:val="nil"/>
            </w:tcBorders>
            <w:vAlign w:val="center"/>
          </w:tcPr>
          <w:p w14:paraId="24EDE03B">
            <w:pPr>
              <w:keepNext w:val="0"/>
              <w:keepLines w:val="0"/>
              <w:widowControl/>
              <w:suppressLineNumbers w:val="0"/>
              <w:jc w:val="righ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r>
      <w:tr w14:paraId="7D69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13" w:type="dxa"/>
            <w:vMerge w:val="restart"/>
            <w:tcBorders>
              <w:tl2br w:val="nil"/>
              <w:tr2bl w:val="nil"/>
            </w:tcBorders>
            <w:vAlign w:val="center"/>
          </w:tcPr>
          <w:p w14:paraId="5CF71F38">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体</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4306" w:type="dxa"/>
            <w:gridSpan w:val="4"/>
            <w:tcBorders>
              <w:tl2br w:val="nil"/>
              <w:tr2bl w:val="nil"/>
            </w:tcBorders>
            <w:vAlign w:val="center"/>
          </w:tcPr>
          <w:p w14:paraId="1A114E2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中期目标（2025年—2025年）</w:t>
            </w:r>
          </w:p>
        </w:tc>
        <w:tc>
          <w:tcPr>
            <w:tcW w:w="4201" w:type="dxa"/>
            <w:gridSpan w:val="4"/>
            <w:tcBorders>
              <w:tl2br w:val="nil"/>
              <w:tr2bl w:val="nil"/>
            </w:tcBorders>
            <w:vAlign w:val="center"/>
          </w:tcPr>
          <w:p w14:paraId="50683A9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年度目标</w:t>
            </w:r>
          </w:p>
        </w:tc>
      </w:tr>
      <w:tr w14:paraId="0D71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3" w:type="dxa"/>
            <w:vMerge w:val="continue"/>
            <w:tcBorders>
              <w:tl2br w:val="nil"/>
              <w:tr2bl w:val="nil"/>
            </w:tcBorders>
            <w:vAlign w:val="center"/>
          </w:tcPr>
          <w:p w14:paraId="3CE9B3EB">
            <w:pPr>
              <w:jc w:val="center"/>
              <w:rPr>
                <w:rFonts w:hint="eastAsia" w:ascii="仿宋_GB2312" w:hAnsi="仿宋_GB2312" w:eastAsia="仿宋_GB2312" w:cs="仿宋_GB2312"/>
                <w:sz w:val="18"/>
                <w:szCs w:val="18"/>
              </w:rPr>
            </w:pPr>
          </w:p>
        </w:tc>
        <w:tc>
          <w:tcPr>
            <w:tcW w:w="4306" w:type="dxa"/>
            <w:gridSpan w:val="4"/>
            <w:tcBorders>
              <w:tl2br w:val="nil"/>
              <w:tr2bl w:val="nil"/>
            </w:tcBorders>
            <w:vAlign w:val="center"/>
          </w:tcPr>
          <w:p w14:paraId="179968B3">
            <w:pPr>
              <w:keepNext w:val="0"/>
              <w:keepLines w:val="0"/>
              <w:widowControl/>
              <w:suppressLineNumbers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贯彻落实医疗工伤生育保险政策，体现社会保障公平作用；维护参保人员合法权益，提高社会群体对医疗工伤生育保险认识及参保积极性，促进社会保障事业健康发展；建造高效稳定的社保经办队伍，严格四项基金管理、待遇审核、支付；不断提高城镇民医疗保险参保率， 不断提高服务对象满意度。</w:t>
            </w:r>
          </w:p>
        </w:tc>
        <w:tc>
          <w:tcPr>
            <w:tcW w:w="4201" w:type="dxa"/>
            <w:gridSpan w:val="4"/>
            <w:tcBorders>
              <w:tl2br w:val="nil"/>
              <w:tr2bl w:val="nil"/>
            </w:tcBorders>
            <w:vAlign w:val="center"/>
          </w:tcPr>
          <w:p w14:paraId="60615C9B">
            <w:pPr>
              <w:keepNext w:val="0"/>
              <w:keepLines w:val="0"/>
              <w:widowControl/>
              <w:suppressLineNumbers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贯彻落实医疗工伤生育保险政策，体现社会保障公平作用；维护参保人员合法权益，提高社会群体对医疗工伤生育保险认识及参保积极性，促进社会保障事业健康发展；建造高效稳定的社保经办队伍，严格四项基金管理、待遇审核、支付；不断提高城镇民医疗保险参保率， 不断提高服务对象满意度。</w:t>
            </w:r>
          </w:p>
        </w:tc>
      </w:tr>
      <w:tr w14:paraId="03F6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restart"/>
            <w:tcBorders>
              <w:tl2br w:val="nil"/>
              <w:tr2bl w:val="nil"/>
            </w:tcBorders>
            <w:vAlign w:val="center"/>
          </w:tcPr>
          <w:p w14:paraId="2C330691">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指</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514" w:type="dxa"/>
            <w:tcBorders>
              <w:tl2br w:val="nil"/>
              <w:tr2bl w:val="nil"/>
            </w:tcBorders>
            <w:vAlign w:val="center"/>
          </w:tcPr>
          <w:p w14:paraId="130BC1B2">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726" w:type="dxa"/>
            <w:tcBorders>
              <w:tl2br w:val="nil"/>
              <w:tr2bl w:val="nil"/>
            </w:tcBorders>
            <w:vAlign w:val="center"/>
          </w:tcPr>
          <w:p w14:paraId="327953D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732" w:type="dxa"/>
            <w:tcBorders>
              <w:tl2br w:val="nil"/>
              <w:tr2bl w:val="nil"/>
            </w:tcBorders>
            <w:vAlign w:val="center"/>
          </w:tcPr>
          <w:p w14:paraId="56EC905D">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334" w:type="dxa"/>
            <w:tcBorders>
              <w:tl2br w:val="nil"/>
              <w:tr2bl w:val="nil"/>
            </w:tcBorders>
            <w:vAlign w:val="center"/>
          </w:tcPr>
          <w:p w14:paraId="2320133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1125" w:type="dxa"/>
            <w:tcBorders>
              <w:tl2br w:val="nil"/>
              <w:tr2bl w:val="nil"/>
            </w:tcBorders>
            <w:vAlign w:val="center"/>
          </w:tcPr>
          <w:p w14:paraId="0FBB460C">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478" w:type="dxa"/>
            <w:tcBorders>
              <w:tl2br w:val="nil"/>
              <w:tr2bl w:val="nil"/>
            </w:tcBorders>
            <w:vAlign w:val="center"/>
          </w:tcPr>
          <w:p w14:paraId="0D651DEB">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598" w:type="dxa"/>
            <w:gridSpan w:val="2"/>
            <w:tcBorders>
              <w:tl2br w:val="nil"/>
              <w:tr2bl w:val="nil"/>
            </w:tcBorders>
            <w:vAlign w:val="center"/>
          </w:tcPr>
          <w:p w14:paraId="060815B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指标值</w:t>
            </w:r>
          </w:p>
        </w:tc>
      </w:tr>
      <w:tr w14:paraId="3FC3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3259AA3A">
            <w:pPr>
              <w:jc w:val="center"/>
              <w:rPr>
                <w:rFonts w:hint="eastAsia" w:ascii="仿宋_GB2312" w:hAnsi="仿宋_GB2312" w:eastAsia="仿宋_GB2312" w:cs="仿宋_GB2312"/>
                <w:sz w:val="18"/>
                <w:szCs w:val="18"/>
              </w:rPr>
            </w:pPr>
          </w:p>
        </w:tc>
        <w:tc>
          <w:tcPr>
            <w:tcW w:w="514" w:type="dxa"/>
            <w:vMerge w:val="restart"/>
            <w:tcBorders>
              <w:tl2br w:val="nil"/>
              <w:tr2bl w:val="nil"/>
            </w:tcBorders>
            <w:vAlign w:val="center"/>
          </w:tcPr>
          <w:p w14:paraId="3F1423B0">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726" w:type="dxa"/>
            <w:vMerge w:val="restart"/>
            <w:tcBorders>
              <w:tl2br w:val="nil"/>
              <w:tr2bl w:val="nil"/>
            </w:tcBorders>
            <w:vAlign w:val="center"/>
          </w:tcPr>
          <w:p w14:paraId="2E4E902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732" w:type="dxa"/>
            <w:tcBorders>
              <w:tl2br w:val="nil"/>
              <w:tr2bl w:val="nil"/>
            </w:tcBorders>
            <w:vAlign w:val="center"/>
          </w:tcPr>
          <w:p w14:paraId="1C9F430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服务工作量</w:t>
            </w:r>
          </w:p>
        </w:tc>
        <w:tc>
          <w:tcPr>
            <w:tcW w:w="1334" w:type="dxa"/>
            <w:tcBorders>
              <w:tl2br w:val="nil"/>
              <w:tr2bl w:val="nil"/>
            </w:tcBorders>
            <w:vAlign w:val="center"/>
          </w:tcPr>
          <w:p w14:paraId="35226DC2">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完成全年中心经办的所有业务。直接受理、审核、支付医疗、生育待遇</w:t>
            </w:r>
          </w:p>
        </w:tc>
        <w:tc>
          <w:tcPr>
            <w:tcW w:w="1125" w:type="dxa"/>
            <w:vMerge w:val="restart"/>
            <w:tcBorders>
              <w:tl2br w:val="nil"/>
              <w:tr2bl w:val="nil"/>
            </w:tcBorders>
            <w:vAlign w:val="center"/>
          </w:tcPr>
          <w:p w14:paraId="44549A6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478" w:type="dxa"/>
            <w:tcBorders>
              <w:tl2br w:val="nil"/>
              <w:tr2bl w:val="nil"/>
            </w:tcBorders>
            <w:vAlign w:val="center"/>
          </w:tcPr>
          <w:p w14:paraId="288D371F">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服务工作量</w:t>
            </w:r>
          </w:p>
        </w:tc>
        <w:tc>
          <w:tcPr>
            <w:tcW w:w="1598" w:type="dxa"/>
            <w:gridSpan w:val="2"/>
            <w:tcBorders>
              <w:tl2br w:val="nil"/>
              <w:tr2bl w:val="nil"/>
            </w:tcBorders>
            <w:vAlign w:val="center"/>
          </w:tcPr>
          <w:p w14:paraId="03A174F2">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完成全年中心经办的所有业务。直接受理、审核、支付医疗、生育待遇</w:t>
            </w:r>
          </w:p>
        </w:tc>
      </w:tr>
      <w:tr w14:paraId="62BB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4994C544">
            <w:pPr>
              <w:jc w:val="center"/>
              <w:rPr>
                <w:rFonts w:hint="eastAsia" w:ascii="仿宋_GB2312" w:hAnsi="仿宋_GB2312" w:eastAsia="仿宋_GB2312" w:cs="仿宋_GB2312"/>
                <w:sz w:val="18"/>
                <w:szCs w:val="18"/>
              </w:rPr>
            </w:pPr>
          </w:p>
        </w:tc>
        <w:tc>
          <w:tcPr>
            <w:tcW w:w="514" w:type="dxa"/>
            <w:vMerge w:val="continue"/>
            <w:tcBorders>
              <w:tl2br w:val="nil"/>
              <w:tr2bl w:val="nil"/>
            </w:tcBorders>
            <w:vAlign w:val="center"/>
          </w:tcPr>
          <w:p w14:paraId="647DE68E">
            <w:pPr>
              <w:jc w:val="center"/>
              <w:rPr>
                <w:rFonts w:hint="eastAsia" w:ascii="仿宋_GB2312" w:hAnsi="仿宋_GB2312" w:eastAsia="仿宋_GB2312" w:cs="仿宋_GB2312"/>
                <w:sz w:val="18"/>
                <w:szCs w:val="18"/>
              </w:rPr>
            </w:pPr>
          </w:p>
        </w:tc>
        <w:tc>
          <w:tcPr>
            <w:tcW w:w="726" w:type="dxa"/>
            <w:vMerge w:val="continue"/>
            <w:tcBorders>
              <w:tl2br w:val="nil"/>
              <w:tr2bl w:val="nil"/>
            </w:tcBorders>
            <w:vAlign w:val="center"/>
          </w:tcPr>
          <w:p w14:paraId="5ADC707B">
            <w:pPr>
              <w:jc w:val="center"/>
              <w:rPr>
                <w:rFonts w:hint="eastAsia" w:ascii="仿宋_GB2312" w:hAnsi="仿宋_GB2312" w:eastAsia="仿宋_GB2312" w:cs="仿宋_GB2312"/>
                <w:sz w:val="18"/>
                <w:szCs w:val="18"/>
              </w:rPr>
            </w:pPr>
          </w:p>
        </w:tc>
        <w:tc>
          <w:tcPr>
            <w:tcW w:w="1732" w:type="dxa"/>
            <w:tcBorders>
              <w:tl2br w:val="nil"/>
              <w:tr2bl w:val="nil"/>
            </w:tcBorders>
            <w:vAlign w:val="center"/>
          </w:tcPr>
          <w:p w14:paraId="43DDBE93">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医疗机构协议管理</w:t>
            </w:r>
          </w:p>
        </w:tc>
        <w:tc>
          <w:tcPr>
            <w:tcW w:w="1334" w:type="dxa"/>
            <w:tcBorders>
              <w:tl2br w:val="nil"/>
              <w:tr2bl w:val="nil"/>
            </w:tcBorders>
            <w:vAlign w:val="center"/>
          </w:tcPr>
          <w:p w14:paraId="759A0E6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≥1次</w:t>
            </w:r>
          </w:p>
        </w:tc>
        <w:tc>
          <w:tcPr>
            <w:tcW w:w="1125" w:type="dxa"/>
            <w:vMerge w:val="continue"/>
            <w:tcBorders>
              <w:tl2br w:val="nil"/>
              <w:tr2bl w:val="nil"/>
            </w:tcBorders>
            <w:vAlign w:val="center"/>
          </w:tcPr>
          <w:p w14:paraId="39863F19">
            <w:pPr>
              <w:jc w:val="center"/>
              <w:rPr>
                <w:rFonts w:hint="eastAsia" w:ascii="仿宋_GB2312" w:hAnsi="仿宋_GB2312" w:eastAsia="仿宋_GB2312" w:cs="仿宋_GB2312"/>
                <w:sz w:val="18"/>
                <w:szCs w:val="18"/>
              </w:rPr>
            </w:pPr>
          </w:p>
        </w:tc>
        <w:tc>
          <w:tcPr>
            <w:tcW w:w="1478" w:type="dxa"/>
            <w:tcBorders>
              <w:tl2br w:val="nil"/>
              <w:tr2bl w:val="nil"/>
            </w:tcBorders>
            <w:vAlign w:val="center"/>
          </w:tcPr>
          <w:p w14:paraId="1EE10FC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医疗机构协议管理</w:t>
            </w:r>
          </w:p>
        </w:tc>
        <w:tc>
          <w:tcPr>
            <w:tcW w:w="1598" w:type="dxa"/>
            <w:gridSpan w:val="2"/>
            <w:tcBorders>
              <w:tl2br w:val="nil"/>
              <w:tr2bl w:val="nil"/>
            </w:tcBorders>
            <w:vAlign w:val="center"/>
          </w:tcPr>
          <w:p w14:paraId="2931783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≥1次</w:t>
            </w:r>
          </w:p>
        </w:tc>
      </w:tr>
      <w:tr w14:paraId="1126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47252DBA">
            <w:pPr>
              <w:jc w:val="center"/>
              <w:rPr>
                <w:rFonts w:hint="eastAsia" w:ascii="仿宋_GB2312" w:hAnsi="仿宋_GB2312" w:eastAsia="仿宋_GB2312" w:cs="仿宋_GB2312"/>
                <w:sz w:val="18"/>
                <w:szCs w:val="18"/>
              </w:rPr>
            </w:pPr>
          </w:p>
        </w:tc>
        <w:tc>
          <w:tcPr>
            <w:tcW w:w="514" w:type="dxa"/>
            <w:vMerge w:val="continue"/>
            <w:tcBorders>
              <w:tl2br w:val="nil"/>
              <w:tr2bl w:val="nil"/>
            </w:tcBorders>
            <w:vAlign w:val="center"/>
          </w:tcPr>
          <w:p w14:paraId="617F7469">
            <w:pPr>
              <w:jc w:val="center"/>
              <w:rPr>
                <w:rFonts w:hint="eastAsia" w:ascii="仿宋_GB2312" w:hAnsi="仿宋_GB2312" w:eastAsia="仿宋_GB2312" w:cs="仿宋_GB2312"/>
                <w:sz w:val="18"/>
                <w:szCs w:val="18"/>
              </w:rPr>
            </w:pPr>
          </w:p>
        </w:tc>
        <w:tc>
          <w:tcPr>
            <w:tcW w:w="726" w:type="dxa"/>
            <w:tcBorders>
              <w:tl2br w:val="nil"/>
              <w:tr2bl w:val="nil"/>
            </w:tcBorders>
            <w:vAlign w:val="center"/>
          </w:tcPr>
          <w:p w14:paraId="7A61FF4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732" w:type="dxa"/>
            <w:tcBorders>
              <w:tl2br w:val="nil"/>
              <w:tr2bl w:val="nil"/>
            </w:tcBorders>
            <w:vAlign w:val="center"/>
          </w:tcPr>
          <w:p w14:paraId="0D601BE8">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业务经办情况</w:t>
            </w:r>
          </w:p>
        </w:tc>
        <w:tc>
          <w:tcPr>
            <w:tcW w:w="1334" w:type="dxa"/>
            <w:tcBorders>
              <w:tl2br w:val="nil"/>
              <w:tr2bl w:val="nil"/>
            </w:tcBorders>
            <w:vAlign w:val="center"/>
          </w:tcPr>
          <w:p w14:paraId="40A2B9BF">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确保参保人员待遇及时足额到位</w:t>
            </w:r>
          </w:p>
        </w:tc>
        <w:tc>
          <w:tcPr>
            <w:tcW w:w="1125" w:type="dxa"/>
            <w:tcBorders>
              <w:tl2br w:val="nil"/>
              <w:tr2bl w:val="nil"/>
            </w:tcBorders>
            <w:vAlign w:val="center"/>
          </w:tcPr>
          <w:p w14:paraId="365B582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478" w:type="dxa"/>
            <w:tcBorders>
              <w:tl2br w:val="nil"/>
              <w:tr2bl w:val="nil"/>
            </w:tcBorders>
            <w:vAlign w:val="center"/>
          </w:tcPr>
          <w:p w14:paraId="19F1A0B0">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业务经办情况</w:t>
            </w:r>
          </w:p>
        </w:tc>
        <w:tc>
          <w:tcPr>
            <w:tcW w:w="1598" w:type="dxa"/>
            <w:gridSpan w:val="2"/>
            <w:tcBorders>
              <w:tl2br w:val="nil"/>
              <w:tr2bl w:val="nil"/>
            </w:tcBorders>
            <w:vAlign w:val="center"/>
          </w:tcPr>
          <w:p w14:paraId="12A5230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确保参保人员待遇及时足额到位</w:t>
            </w:r>
          </w:p>
        </w:tc>
      </w:tr>
      <w:tr w14:paraId="2A62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43DC0E77">
            <w:pPr>
              <w:jc w:val="center"/>
              <w:rPr>
                <w:rFonts w:hint="eastAsia" w:ascii="仿宋_GB2312" w:hAnsi="仿宋_GB2312" w:eastAsia="仿宋_GB2312" w:cs="仿宋_GB2312"/>
                <w:sz w:val="18"/>
                <w:szCs w:val="18"/>
              </w:rPr>
            </w:pPr>
          </w:p>
        </w:tc>
        <w:tc>
          <w:tcPr>
            <w:tcW w:w="514" w:type="dxa"/>
            <w:vMerge w:val="continue"/>
            <w:tcBorders>
              <w:tl2br w:val="nil"/>
              <w:tr2bl w:val="nil"/>
            </w:tcBorders>
            <w:vAlign w:val="center"/>
          </w:tcPr>
          <w:p w14:paraId="4A4FF546">
            <w:pPr>
              <w:jc w:val="center"/>
              <w:rPr>
                <w:rFonts w:hint="eastAsia" w:ascii="仿宋_GB2312" w:hAnsi="仿宋_GB2312" w:eastAsia="仿宋_GB2312" w:cs="仿宋_GB2312"/>
                <w:sz w:val="18"/>
                <w:szCs w:val="18"/>
              </w:rPr>
            </w:pPr>
          </w:p>
        </w:tc>
        <w:tc>
          <w:tcPr>
            <w:tcW w:w="726" w:type="dxa"/>
            <w:tcBorders>
              <w:tl2br w:val="nil"/>
              <w:tr2bl w:val="nil"/>
            </w:tcBorders>
            <w:vAlign w:val="center"/>
          </w:tcPr>
          <w:p w14:paraId="62BE9F0E">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732" w:type="dxa"/>
            <w:tcBorders>
              <w:tl2br w:val="nil"/>
              <w:tr2bl w:val="nil"/>
            </w:tcBorders>
            <w:vAlign w:val="center"/>
          </w:tcPr>
          <w:p w14:paraId="00910341">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待遇执行及时性</w:t>
            </w:r>
          </w:p>
        </w:tc>
        <w:tc>
          <w:tcPr>
            <w:tcW w:w="1334" w:type="dxa"/>
            <w:tcBorders>
              <w:tl2br w:val="nil"/>
              <w:tr2bl w:val="nil"/>
            </w:tcBorders>
            <w:vAlign w:val="center"/>
          </w:tcPr>
          <w:p w14:paraId="685C65DC">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确保参保人员待遇及时足额到位</w:t>
            </w:r>
          </w:p>
        </w:tc>
        <w:tc>
          <w:tcPr>
            <w:tcW w:w="1125" w:type="dxa"/>
            <w:tcBorders>
              <w:tl2br w:val="nil"/>
              <w:tr2bl w:val="nil"/>
            </w:tcBorders>
            <w:vAlign w:val="center"/>
          </w:tcPr>
          <w:p w14:paraId="68C37851">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478" w:type="dxa"/>
            <w:tcBorders>
              <w:tl2br w:val="nil"/>
              <w:tr2bl w:val="nil"/>
            </w:tcBorders>
            <w:vAlign w:val="center"/>
          </w:tcPr>
          <w:p w14:paraId="722B9A59">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待遇执行及时性</w:t>
            </w:r>
          </w:p>
        </w:tc>
        <w:tc>
          <w:tcPr>
            <w:tcW w:w="1598" w:type="dxa"/>
            <w:gridSpan w:val="2"/>
            <w:tcBorders>
              <w:tl2br w:val="nil"/>
              <w:tr2bl w:val="nil"/>
            </w:tcBorders>
            <w:vAlign w:val="center"/>
          </w:tcPr>
          <w:p w14:paraId="7556FA9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确保参保人员待遇及时足额到位</w:t>
            </w:r>
          </w:p>
        </w:tc>
      </w:tr>
      <w:tr w14:paraId="657C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6488D567">
            <w:pPr>
              <w:jc w:val="center"/>
              <w:rPr>
                <w:rFonts w:hint="eastAsia" w:ascii="仿宋_GB2312" w:hAnsi="仿宋_GB2312" w:eastAsia="仿宋_GB2312" w:cs="仿宋_GB2312"/>
                <w:sz w:val="18"/>
                <w:szCs w:val="18"/>
              </w:rPr>
            </w:pPr>
          </w:p>
        </w:tc>
        <w:tc>
          <w:tcPr>
            <w:tcW w:w="514" w:type="dxa"/>
            <w:vMerge w:val="continue"/>
            <w:tcBorders>
              <w:tl2br w:val="nil"/>
              <w:tr2bl w:val="nil"/>
            </w:tcBorders>
            <w:vAlign w:val="center"/>
          </w:tcPr>
          <w:p w14:paraId="16C30A7A">
            <w:pPr>
              <w:jc w:val="center"/>
              <w:rPr>
                <w:rFonts w:hint="eastAsia" w:ascii="仿宋_GB2312" w:hAnsi="仿宋_GB2312" w:eastAsia="仿宋_GB2312" w:cs="仿宋_GB2312"/>
                <w:sz w:val="18"/>
                <w:szCs w:val="18"/>
              </w:rPr>
            </w:pPr>
          </w:p>
        </w:tc>
        <w:tc>
          <w:tcPr>
            <w:tcW w:w="726" w:type="dxa"/>
            <w:tcBorders>
              <w:tl2br w:val="nil"/>
              <w:tr2bl w:val="nil"/>
            </w:tcBorders>
            <w:vAlign w:val="center"/>
          </w:tcPr>
          <w:p w14:paraId="232781F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732" w:type="dxa"/>
            <w:tcBorders>
              <w:tl2br w:val="nil"/>
              <w:tr2bl w:val="nil"/>
            </w:tcBorders>
            <w:vAlign w:val="center"/>
          </w:tcPr>
          <w:p w14:paraId="3B47DDD0">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项目计划总成本</w:t>
            </w:r>
          </w:p>
        </w:tc>
        <w:tc>
          <w:tcPr>
            <w:tcW w:w="1334" w:type="dxa"/>
            <w:tcBorders>
              <w:tl2br w:val="nil"/>
              <w:tr2bl w:val="nil"/>
            </w:tcBorders>
            <w:vAlign w:val="center"/>
          </w:tcPr>
          <w:p w14:paraId="41FAE1D4">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≤360000元</w:t>
            </w:r>
          </w:p>
        </w:tc>
        <w:tc>
          <w:tcPr>
            <w:tcW w:w="1125" w:type="dxa"/>
            <w:tcBorders>
              <w:tl2br w:val="nil"/>
              <w:tr2bl w:val="nil"/>
            </w:tcBorders>
            <w:vAlign w:val="center"/>
          </w:tcPr>
          <w:p w14:paraId="62BF67AC">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478" w:type="dxa"/>
            <w:tcBorders>
              <w:tl2br w:val="nil"/>
              <w:tr2bl w:val="nil"/>
            </w:tcBorders>
            <w:vAlign w:val="center"/>
          </w:tcPr>
          <w:p w14:paraId="2164215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项目计划总成本</w:t>
            </w:r>
          </w:p>
        </w:tc>
        <w:tc>
          <w:tcPr>
            <w:tcW w:w="1598" w:type="dxa"/>
            <w:gridSpan w:val="2"/>
            <w:tcBorders>
              <w:tl2br w:val="nil"/>
              <w:tr2bl w:val="nil"/>
            </w:tcBorders>
            <w:vAlign w:val="center"/>
          </w:tcPr>
          <w:p w14:paraId="0218328B">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≤360000元</w:t>
            </w:r>
          </w:p>
        </w:tc>
      </w:tr>
      <w:tr w14:paraId="0671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38BA7539">
            <w:pPr>
              <w:jc w:val="center"/>
              <w:rPr>
                <w:rFonts w:hint="eastAsia" w:ascii="仿宋_GB2312" w:hAnsi="仿宋_GB2312" w:eastAsia="仿宋_GB2312" w:cs="仿宋_GB2312"/>
                <w:sz w:val="18"/>
                <w:szCs w:val="18"/>
              </w:rPr>
            </w:pPr>
          </w:p>
        </w:tc>
        <w:tc>
          <w:tcPr>
            <w:tcW w:w="514" w:type="dxa"/>
            <w:vMerge w:val="restart"/>
            <w:tcBorders>
              <w:tl2br w:val="nil"/>
              <w:tr2bl w:val="nil"/>
            </w:tcBorders>
            <w:vAlign w:val="center"/>
          </w:tcPr>
          <w:p w14:paraId="796FC2CC">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726" w:type="dxa"/>
            <w:tcBorders>
              <w:tl2br w:val="nil"/>
              <w:tr2bl w:val="nil"/>
            </w:tcBorders>
            <w:vAlign w:val="center"/>
          </w:tcPr>
          <w:p w14:paraId="7554D3F0">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732" w:type="dxa"/>
            <w:tcBorders>
              <w:tl2br w:val="nil"/>
              <w:tr2bl w:val="nil"/>
            </w:tcBorders>
            <w:vAlign w:val="center"/>
          </w:tcPr>
          <w:p w14:paraId="06A225BC">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1334" w:type="dxa"/>
            <w:tcBorders>
              <w:tl2br w:val="nil"/>
              <w:tr2bl w:val="nil"/>
            </w:tcBorders>
            <w:vAlign w:val="center"/>
          </w:tcPr>
          <w:p w14:paraId="66BC4298">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1125" w:type="dxa"/>
            <w:tcBorders>
              <w:tl2br w:val="nil"/>
              <w:tr2bl w:val="nil"/>
            </w:tcBorders>
            <w:vAlign w:val="center"/>
          </w:tcPr>
          <w:p w14:paraId="337277B3">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478" w:type="dxa"/>
            <w:tcBorders>
              <w:tl2br w:val="nil"/>
              <w:tr2bl w:val="nil"/>
            </w:tcBorders>
            <w:vAlign w:val="center"/>
          </w:tcPr>
          <w:p w14:paraId="18A38562">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1598" w:type="dxa"/>
            <w:gridSpan w:val="2"/>
            <w:tcBorders>
              <w:tl2br w:val="nil"/>
              <w:tr2bl w:val="nil"/>
            </w:tcBorders>
            <w:vAlign w:val="center"/>
          </w:tcPr>
          <w:p w14:paraId="1B75B2E8">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不适用</w:t>
            </w:r>
          </w:p>
        </w:tc>
      </w:tr>
      <w:tr w14:paraId="356B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6DD3C65C">
            <w:pPr>
              <w:jc w:val="center"/>
              <w:rPr>
                <w:rFonts w:hint="eastAsia" w:ascii="仿宋_GB2312" w:hAnsi="仿宋_GB2312" w:eastAsia="仿宋_GB2312" w:cs="仿宋_GB2312"/>
                <w:sz w:val="18"/>
                <w:szCs w:val="18"/>
              </w:rPr>
            </w:pPr>
          </w:p>
        </w:tc>
        <w:tc>
          <w:tcPr>
            <w:tcW w:w="514" w:type="dxa"/>
            <w:vMerge w:val="continue"/>
            <w:tcBorders>
              <w:tl2br w:val="nil"/>
              <w:tr2bl w:val="nil"/>
            </w:tcBorders>
            <w:vAlign w:val="center"/>
          </w:tcPr>
          <w:p w14:paraId="6148BA48">
            <w:pPr>
              <w:jc w:val="center"/>
              <w:rPr>
                <w:rFonts w:hint="eastAsia" w:ascii="仿宋_GB2312" w:hAnsi="仿宋_GB2312" w:eastAsia="仿宋_GB2312" w:cs="仿宋_GB2312"/>
                <w:sz w:val="18"/>
                <w:szCs w:val="18"/>
              </w:rPr>
            </w:pPr>
          </w:p>
        </w:tc>
        <w:tc>
          <w:tcPr>
            <w:tcW w:w="726" w:type="dxa"/>
            <w:vMerge w:val="restart"/>
            <w:tcBorders>
              <w:tl2br w:val="nil"/>
              <w:tr2bl w:val="nil"/>
            </w:tcBorders>
            <w:vAlign w:val="center"/>
          </w:tcPr>
          <w:p w14:paraId="248CCDA3">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732" w:type="dxa"/>
            <w:tcBorders>
              <w:tl2br w:val="nil"/>
              <w:tr2bl w:val="nil"/>
            </w:tcBorders>
            <w:vAlign w:val="center"/>
          </w:tcPr>
          <w:p w14:paraId="7443687B">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参保率</w:t>
            </w:r>
          </w:p>
        </w:tc>
        <w:tc>
          <w:tcPr>
            <w:tcW w:w="1334" w:type="dxa"/>
            <w:tcBorders>
              <w:tl2br w:val="nil"/>
              <w:tr2bl w:val="nil"/>
            </w:tcBorders>
            <w:vAlign w:val="center"/>
          </w:tcPr>
          <w:p w14:paraId="0302F3A8">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1125" w:type="dxa"/>
            <w:vMerge w:val="restart"/>
            <w:tcBorders>
              <w:tl2br w:val="nil"/>
              <w:tr2bl w:val="nil"/>
            </w:tcBorders>
            <w:vAlign w:val="center"/>
          </w:tcPr>
          <w:p w14:paraId="5FCA8918">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478" w:type="dxa"/>
            <w:tcBorders>
              <w:tl2br w:val="nil"/>
              <w:tr2bl w:val="nil"/>
            </w:tcBorders>
            <w:vAlign w:val="center"/>
          </w:tcPr>
          <w:p w14:paraId="67C8F05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参保率</w:t>
            </w:r>
          </w:p>
        </w:tc>
        <w:tc>
          <w:tcPr>
            <w:tcW w:w="1598" w:type="dxa"/>
            <w:gridSpan w:val="2"/>
            <w:tcBorders>
              <w:tl2br w:val="nil"/>
              <w:tr2bl w:val="nil"/>
            </w:tcBorders>
            <w:vAlign w:val="center"/>
          </w:tcPr>
          <w:p w14:paraId="2E4B8683">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≥95%</w:t>
            </w:r>
          </w:p>
        </w:tc>
      </w:tr>
      <w:tr w14:paraId="4756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4E40BE8E">
            <w:pPr>
              <w:jc w:val="center"/>
              <w:rPr>
                <w:rFonts w:hint="eastAsia" w:ascii="仿宋_GB2312" w:hAnsi="仿宋_GB2312" w:eastAsia="仿宋_GB2312" w:cs="仿宋_GB2312"/>
                <w:sz w:val="18"/>
                <w:szCs w:val="18"/>
              </w:rPr>
            </w:pPr>
          </w:p>
        </w:tc>
        <w:tc>
          <w:tcPr>
            <w:tcW w:w="514" w:type="dxa"/>
            <w:vMerge w:val="continue"/>
            <w:tcBorders>
              <w:tl2br w:val="nil"/>
              <w:tr2bl w:val="nil"/>
            </w:tcBorders>
            <w:vAlign w:val="center"/>
          </w:tcPr>
          <w:p w14:paraId="598FAA1F">
            <w:pPr>
              <w:jc w:val="center"/>
              <w:rPr>
                <w:rFonts w:hint="eastAsia" w:ascii="仿宋_GB2312" w:hAnsi="仿宋_GB2312" w:eastAsia="仿宋_GB2312" w:cs="仿宋_GB2312"/>
                <w:sz w:val="18"/>
                <w:szCs w:val="18"/>
              </w:rPr>
            </w:pPr>
          </w:p>
        </w:tc>
        <w:tc>
          <w:tcPr>
            <w:tcW w:w="726" w:type="dxa"/>
            <w:vMerge w:val="continue"/>
            <w:tcBorders>
              <w:tl2br w:val="nil"/>
              <w:tr2bl w:val="nil"/>
            </w:tcBorders>
            <w:vAlign w:val="center"/>
          </w:tcPr>
          <w:p w14:paraId="2E9B8C7C">
            <w:pPr>
              <w:jc w:val="center"/>
              <w:rPr>
                <w:rFonts w:hint="eastAsia" w:ascii="仿宋_GB2312" w:hAnsi="仿宋_GB2312" w:eastAsia="仿宋_GB2312" w:cs="仿宋_GB2312"/>
                <w:sz w:val="18"/>
                <w:szCs w:val="18"/>
              </w:rPr>
            </w:pPr>
          </w:p>
        </w:tc>
        <w:tc>
          <w:tcPr>
            <w:tcW w:w="1732" w:type="dxa"/>
            <w:tcBorders>
              <w:tl2br w:val="nil"/>
              <w:tr2bl w:val="nil"/>
            </w:tcBorders>
            <w:vAlign w:val="center"/>
          </w:tcPr>
          <w:p w14:paraId="0F1B7431">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公众知晓率</w:t>
            </w:r>
          </w:p>
        </w:tc>
        <w:tc>
          <w:tcPr>
            <w:tcW w:w="1334" w:type="dxa"/>
            <w:tcBorders>
              <w:tl2br w:val="nil"/>
              <w:tr2bl w:val="nil"/>
            </w:tcBorders>
            <w:vAlign w:val="center"/>
          </w:tcPr>
          <w:p w14:paraId="65C2485E">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普遍知晓</w:t>
            </w:r>
          </w:p>
        </w:tc>
        <w:tc>
          <w:tcPr>
            <w:tcW w:w="1125" w:type="dxa"/>
            <w:vMerge w:val="continue"/>
            <w:tcBorders>
              <w:tl2br w:val="nil"/>
              <w:tr2bl w:val="nil"/>
            </w:tcBorders>
            <w:vAlign w:val="center"/>
          </w:tcPr>
          <w:p w14:paraId="4209C2EF">
            <w:pPr>
              <w:jc w:val="center"/>
              <w:rPr>
                <w:rFonts w:hint="eastAsia" w:ascii="仿宋_GB2312" w:hAnsi="仿宋_GB2312" w:eastAsia="仿宋_GB2312" w:cs="仿宋_GB2312"/>
                <w:sz w:val="18"/>
                <w:szCs w:val="18"/>
              </w:rPr>
            </w:pPr>
          </w:p>
        </w:tc>
        <w:tc>
          <w:tcPr>
            <w:tcW w:w="1478" w:type="dxa"/>
            <w:tcBorders>
              <w:tl2br w:val="nil"/>
              <w:tr2bl w:val="nil"/>
            </w:tcBorders>
            <w:vAlign w:val="center"/>
          </w:tcPr>
          <w:p w14:paraId="5F0C2FB9">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公众知晓率</w:t>
            </w:r>
          </w:p>
        </w:tc>
        <w:tc>
          <w:tcPr>
            <w:tcW w:w="1598" w:type="dxa"/>
            <w:gridSpan w:val="2"/>
            <w:tcBorders>
              <w:tl2br w:val="nil"/>
              <w:tr2bl w:val="nil"/>
            </w:tcBorders>
            <w:vAlign w:val="center"/>
          </w:tcPr>
          <w:p w14:paraId="53B3E8EC">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普遍知晓</w:t>
            </w:r>
          </w:p>
        </w:tc>
      </w:tr>
      <w:tr w14:paraId="5A78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1E4C818F">
            <w:pPr>
              <w:jc w:val="center"/>
              <w:rPr>
                <w:rFonts w:hint="eastAsia" w:ascii="仿宋_GB2312" w:hAnsi="仿宋_GB2312" w:eastAsia="仿宋_GB2312" w:cs="仿宋_GB2312"/>
                <w:sz w:val="18"/>
                <w:szCs w:val="18"/>
              </w:rPr>
            </w:pPr>
          </w:p>
        </w:tc>
        <w:tc>
          <w:tcPr>
            <w:tcW w:w="514" w:type="dxa"/>
            <w:vMerge w:val="continue"/>
            <w:tcBorders>
              <w:tl2br w:val="nil"/>
              <w:tr2bl w:val="nil"/>
            </w:tcBorders>
            <w:vAlign w:val="center"/>
          </w:tcPr>
          <w:p w14:paraId="164318DD">
            <w:pPr>
              <w:jc w:val="center"/>
              <w:rPr>
                <w:rFonts w:hint="eastAsia" w:ascii="仿宋_GB2312" w:hAnsi="仿宋_GB2312" w:eastAsia="仿宋_GB2312" w:cs="仿宋_GB2312"/>
                <w:sz w:val="18"/>
                <w:szCs w:val="18"/>
              </w:rPr>
            </w:pPr>
          </w:p>
        </w:tc>
        <w:tc>
          <w:tcPr>
            <w:tcW w:w="726" w:type="dxa"/>
            <w:tcBorders>
              <w:tl2br w:val="nil"/>
              <w:tr2bl w:val="nil"/>
            </w:tcBorders>
            <w:vAlign w:val="center"/>
          </w:tcPr>
          <w:p w14:paraId="4C9A2E5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732" w:type="dxa"/>
            <w:tcBorders>
              <w:tl2br w:val="nil"/>
              <w:tr2bl w:val="nil"/>
            </w:tcBorders>
            <w:vAlign w:val="center"/>
          </w:tcPr>
          <w:p w14:paraId="535DC9F3">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该项目无此指标</w:t>
            </w:r>
          </w:p>
        </w:tc>
        <w:tc>
          <w:tcPr>
            <w:tcW w:w="1334" w:type="dxa"/>
            <w:tcBorders>
              <w:tl2br w:val="nil"/>
              <w:tr2bl w:val="nil"/>
            </w:tcBorders>
            <w:vAlign w:val="center"/>
          </w:tcPr>
          <w:p w14:paraId="5526785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1125" w:type="dxa"/>
            <w:tcBorders>
              <w:tl2br w:val="nil"/>
              <w:tr2bl w:val="nil"/>
            </w:tcBorders>
            <w:vAlign w:val="center"/>
          </w:tcPr>
          <w:p w14:paraId="441AE16F">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478" w:type="dxa"/>
            <w:tcBorders>
              <w:tl2br w:val="nil"/>
              <w:tr2bl w:val="nil"/>
            </w:tcBorders>
            <w:vAlign w:val="center"/>
          </w:tcPr>
          <w:p w14:paraId="21FD2C50">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该项目无此指标</w:t>
            </w:r>
          </w:p>
        </w:tc>
        <w:tc>
          <w:tcPr>
            <w:tcW w:w="1598" w:type="dxa"/>
            <w:gridSpan w:val="2"/>
            <w:tcBorders>
              <w:tl2br w:val="nil"/>
              <w:tr2bl w:val="nil"/>
            </w:tcBorders>
            <w:vAlign w:val="center"/>
          </w:tcPr>
          <w:p w14:paraId="0C7C1F69">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不适用</w:t>
            </w:r>
          </w:p>
        </w:tc>
      </w:tr>
      <w:tr w14:paraId="764D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7F6B45AC">
            <w:pPr>
              <w:jc w:val="center"/>
              <w:rPr>
                <w:rFonts w:hint="eastAsia" w:ascii="仿宋_GB2312" w:hAnsi="仿宋_GB2312" w:eastAsia="仿宋_GB2312" w:cs="仿宋_GB2312"/>
                <w:sz w:val="18"/>
                <w:szCs w:val="18"/>
              </w:rPr>
            </w:pPr>
          </w:p>
        </w:tc>
        <w:tc>
          <w:tcPr>
            <w:tcW w:w="514" w:type="dxa"/>
            <w:vMerge w:val="continue"/>
            <w:tcBorders>
              <w:tl2br w:val="nil"/>
              <w:tr2bl w:val="nil"/>
            </w:tcBorders>
            <w:vAlign w:val="center"/>
          </w:tcPr>
          <w:p w14:paraId="7B860EE8">
            <w:pPr>
              <w:jc w:val="center"/>
              <w:rPr>
                <w:rFonts w:hint="eastAsia" w:ascii="仿宋_GB2312" w:hAnsi="仿宋_GB2312" w:eastAsia="仿宋_GB2312" w:cs="仿宋_GB2312"/>
                <w:sz w:val="18"/>
                <w:szCs w:val="18"/>
              </w:rPr>
            </w:pPr>
          </w:p>
        </w:tc>
        <w:tc>
          <w:tcPr>
            <w:tcW w:w="726" w:type="dxa"/>
            <w:tcBorders>
              <w:tl2br w:val="nil"/>
              <w:tr2bl w:val="nil"/>
            </w:tcBorders>
            <w:vAlign w:val="center"/>
          </w:tcPr>
          <w:p w14:paraId="210BC860">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732" w:type="dxa"/>
            <w:tcBorders>
              <w:tl2br w:val="nil"/>
              <w:tr2bl w:val="nil"/>
            </w:tcBorders>
            <w:vAlign w:val="center"/>
          </w:tcPr>
          <w:p w14:paraId="3080C228">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基金支撑能力</w:t>
            </w:r>
          </w:p>
        </w:tc>
        <w:tc>
          <w:tcPr>
            <w:tcW w:w="1334" w:type="dxa"/>
            <w:tcBorders>
              <w:tl2br w:val="nil"/>
              <w:tr2bl w:val="nil"/>
            </w:tcBorders>
            <w:vAlign w:val="center"/>
          </w:tcPr>
          <w:p w14:paraId="2C8C6186">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≥6月</w:t>
            </w:r>
          </w:p>
        </w:tc>
        <w:tc>
          <w:tcPr>
            <w:tcW w:w="1125" w:type="dxa"/>
            <w:tcBorders>
              <w:tl2br w:val="nil"/>
              <w:tr2bl w:val="nil"/>
            </w:tcBorders>
            <w:vAlign w:val="center"/>
          </w:tcPr>
          <w:p w14:paraId="16C87815">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478" w:type="dxa"/>
            <w:tcBorders>
              <w:tl2br w:val="nil"/>
              <w:tr2bl w:val="nil"/>
            </w:tcBorders>
            <w:vAlign w:val="center"/>
          </w:tcPr>
          <w:p w14:paraId="0A159BF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基金支撑能力</w:t>
            </w:r>
          </w:p>
        </w:tc>
        <w:tc>
          <w:tcPr>
            <w:tcW w:w="1598" w:type="dxa"/>
            <w:gridSpan w:val="2"/>
            <w:tcBorders>
              <w:tl2br w:val="nil"/>
              <w:tr2bl w:val="nil"/>
            </w:tcBorders>
            <w:vAlign w:val="center"/>
          </w:tcPr>
          <w:p w14:paraId="6C3F04B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≥6月</w:t>
            </w:r>
          </w:p>
        </w:tc>
      </w:tr>
      <w:tr w14:paraId="0439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13" w:type="dxa"/>
            <w:vMerge w:val="continue"/>
            <w:tcBorders>
              <w:tl2br w:val="nil"/>
              <w:tr2bl w:val="nil"/>
            </w:tcBorders>
            <w:vAlign w:val="center"/>
          </w:tcPr>
          <w:p w14:paraId="04796F30">
            <w:pPr>
              <w:jc w:val="center"/>
              <w:rPr>
                <w:rFonts w:hint="eastAsia" w:ascii="仿宋_GB2312" w:hAnsi="仿宋_GB2312" w:eastAsia="仿宋_GB2312" w:cs="仿宋_GB2312"/>
                <w:sz w:val="18"/>
                <w:szCs w:val="18"/>
              </w:rPr>
            </w:pPr>
          </w:p>
        </w:tc>
        <w:tc>
          <w:tcPr>
            <w:tcW w:w="514" w:type="dxa"/>
            <w:tcBorders>
              <w:tl2br w:val="nil"/>
              <w:tr2bl w:val="nil"/>
            </w:tcBorders>
            <w:vAlign w:val="center"/>
          </w:tcPr>
          <w:p w14:paraId="00ABADD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726" w:type="dxa"/>
            <w:tcBorders>
              <w:tl2br w:val="nil"/>
              <w:tr2bl w:val="nil"/>
            </w:tcBorders>
            <w:vAlign w:val="center"/>
          </w:tcPr>
          <w:p w14:paraId="45452869">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732" w:type="dxa"/>
            <w:tcBorders>
              <w:tl2br w:val="nil"/>
              <w:tr2bl w:val="nil"/>
            </w:tcBorders>
            <w:vAlign w:val="center"/>
          </w:tcPr>
          <w:p w14:paraId="79DF7666">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1334" w:type="dxa"/>
            <w:tcBorders>
              <w:tl2br w:val="nil"/>
              <w:tr2bl w:val="nil"/>
            </w:tcBorders>
            <w:vAlign w:val="center"/>
          </w:tcPr>
          <w:p w14:paraId="7ACCAC48">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1125" w:type="dxa"/>
            <w:tcBorders>
              <w:tl2br w:val="nil"/>
              <w:tr2bl w:val="nil"/>
            </w:tcBorders>
            <w:vAlign w:val="center"/>
          </w:tcPr>
          <w:p w14:paraId="69DA7C19">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478" w:type="dxa"/>
            <w:tcBorders>
              <w:tl2br w:val="nil"/>
              <w:tr2bl w:val="nil"/>
            </w:tcBorders>
            <w:vAlign w:val="center"/>
          </w:tcPr>
          <w:p w14:paraId="3B4D3E07">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1598" w:type="dxa"/>
            <w:gridSpan w:val="2"/>
            <w:tcBorders>
              <w:tl2br w:val="nil"/>
              <w:tr2bl w:val="nil"/>
            </w:tcBorders>
            <w:vAlign w:val="center"/>
          </w:tcPr>
          <w:p w14:paraId="7E837BEA">
            <w:pPr>
              <w:keepNext w:val="0"/>
              <w:keepLines w:val="0"/>
              <w:widowControl/>
              <w:suppressLineNumbers w:val="0"/>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olor w:val="000000"/>
                <w:kern w:val="0"/>
                <w:sz w:val="18"/>
                <w:szCs w:val="18"/>
                <w:u w:val="none"/>
                <w:lang w:val="en-US" w:eastAsia="zh-CN" w:bidi="ar"/>
              </w:rPr>
              <w:t>≥95%</w:t>
            </w:r>
          </w:p>
        </w:tc>
      </w:tr>
    </w:tbl>
    <w:p w14:paraId="267401F3">
      <w:pPr>
        <w:ind w:firstLine="360" w:firstLineChars="200"/>
        <w:rPr>
          <w:rFonts w:hint="eastAsia" w:ascii="仿宋_GB2312" w:hAnsi="仿宋_GB2312" w:eastAsia="仿宋_GB2312" w:cs="仿宋_GB2312"/>
          <w:sz w:val="18"/>
          <w:szCs w:val="18"/>
        </w:rPr>
      </w:pPr>
    </w:p>
    <w:p w14:paraId="11EBDDE0">
      <w:pPr>
        <w:ind w:firstLine="420" w:firstLineChars="200"/>
        <w:rPr>
          <w:rFonts w:hint="default" w:ascii="Times New Roman" w:hAnsi="Times New Roman" w:cs="Times New Roman"/>
        </w:rPr>
      </w:pPr>
    </w:p>
    <w:p w14:paraId="0CCFC0F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2025_城乡居民基本医疗保险</w:t>
      </w:r>
      <w:r>
        <w:rPr>
          <w:rFonts w:hint="default" w:ascii="Times New Roman" w:hAnsi="Times New Roman" w:eastAsia="仿宋_GB2312" w:cs="Times New Roman"/>
          <w:kern w:val="0"/>
          <w:sz w:val="32"/>
          <w:szCs w:val="32"/>
        </w:rPr>
        <w:t>”项目。</w:t>
      </w:r>
    </w:p>
    <w:p w14:paraId="20A98A7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lang w:eastAsia="zh-CN"/>
        </w:rPr>
        <w:t>依据</w:t>
      </w:r>
      <w:r>
        <w:rPr>
          <w:rFonts w:hint="default" w:ascii="Times New Roman" w:hAnsi="Times New Roman" w:eastAsia="仿宋_GB2312" w:cs="Times New Roman"/>
          <w:kern w:val="2"/>
          <w:sz w:val="32"/>
          <w:szCs w:val="32"/>
          <w:lang w:val="en-US" w:eastAsia="zh-CN" w:bidi="ar-SA"/>
        </w:rPr>
        <w:t>皖财社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238号 第一条 落实地方配套资金。按照我省财政事权和支出责任划分改革规定，城乡居民基本医疗保险各级财政补助标准由中央、省、市县按6:3:1分担。</w:t>
      </w:r>
      <w:r>
        <w:rPr>
          <w:rFonts w:hint="default" w:ascii="Times New Roman" w:hAnsi="Times New Roman" w:eastAsia="仿宋_GB2312" w:cs="Times New Roman"/>
          <w:sz w:val="32"/>
          <w:szCs w:val="32"/>
        </w:rPr>
        <w:t>城乡居民医疗保险是政府组织、引导、支持城乡居民以</w:t>
      </w:r>
      <w:r>
        <w:rPr>
          <w:rFonts w:hint="default" w:ascii="Times New Roman" w:hAnsi="Times New Roman" w:eastAsia="仿宋_GB2312" w:cs="Times New Roman"/>
          <w:sz w:val="32"/>
          <w:szCs w:val="32"/>
          <w:lang w:eastAsia="zh-CN"/>
        </w:rPr>
        <w:t>个人</w:t>
      </w:r>
      <w:r>
        <w:rPr>
          <w:rFonts w:hint="default" w:ascii="Times New Roman" w:hAnsi="Times New Roman" w:eastAsia="仿宋_GB2312" w:cs="Times New Roman"/>
          <w:sz w:val="32"/>
          <w:szCs w:val="32"/>
        </w:rPr>
        <w:t>为单位自愿参加，个人、集体和政府多方筹资，以大病统筹为主，兼顾城乡居民受益面的</w:t>
      </w:r>
      <w:r>
        <w:rPr>
          <w:rFonts w:hint="default" w:ascii="Times New Roman" w:hAnsi="Times New Roman" w:eastAsia="仿宋_GB2312" w:cs="Times New Roman"/>
          <w:sz w:val="32"/>
          <w:szCs w:val="32"/>
          <w:lang w:eastAsia="zh-CN"/>
        </w:rPr>
        <w:t>城乡居民</w:t>
      </w:r>
      <w:r>
        <w:rPr>
          <w:rFonts w:hint="default" w:ascii="Times New Roman" w:hAnsi="Times New Roman" w:eastAsia="仿宋_GB2312" w:cs="Times New Roman"/>
          <w:sz w:val="32"/>
          <w:szCs w:val="32"/>
        </w:rPr>
        <w:t>医疗共济制度</w:t>
      </w:r>
      <w:r>
        <w:rPr>
          <w:rFonts w:hint="default" w:ascii="Times New Roman" w:hAnsi="Times New Roman" w:eastAsia="仿宋_GB2312" w:cs="Times New Roman"/>
          <w:sz w:val="32"/>
          <w:szCs w:val="32"/>
          <w:lang w:eastAsia="zh-CN"/>
        </w:rPr>
        <w:t>，是保障老百姓病有所医</w:t>
      </w:r>
      <w:r>
        <w:rPr>
          <w:rFonts w:hint="default" w:ascii="Times New Roman" w:hAnsi="Times New Roman" w:eastAsia="仿宋_GB2312" w:cs="Times New Roman"/>
          <w:sz w:val="32"/>
          <w:szCs w:val="32"/>
          <w:lang w:val="en-US" w:eastAsia="zh-CN"/>
        </w:rPr>
        <w:t>，防止参保人员因病返贫，因病致贫的医疗保险机制。筹集足额的医疗保险资金是城乡居民医疗保险制度持续运行的资金保障。</w:t>
      </w:r>
    </w:p>
    <w:p w14:paraId="13419FD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000000" w:themeColor="text1"/>
          <w:sz w:val="32"/>
          <w:szCs w:val="32"/>
        </w:rPr>
        <w:t>城乡居民医疗保险是政府组织、引导、支持城乡居民以户为单位自愿参加，个人、集体和政府多方筹资，以大病统筹为主，兼顾城乡居民受益面的农民医疗互助共济制度。</w:t>
      </w:r>
    </w:p>
    <w:p w14:paraId="5528D08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31D8077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2025年1月1日至2025年12月31日。</w:t>
      </w:r>
    </w:p>
    <w:p w14:paraId="1C683ED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color w:val="000000" w:themeColor="text1"/>
          <w:sz w:val="32"/>
          <w:szCs w:val="32"/>
        </w:rPr>
        <w:t>巩固参保率</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稳步提高保障水平实现基金收支平稳，提高资金使用效率，确保可持续性。</w:t>
      </w:r>
      <w:r>
        <w:rPr>
          <w:rFonts w:hint="default" w:ascii="Times New Roman" w:hAnsi="Times New Roman" w:eastAsia="仿宋_GB2312" w:cs="Times New Roman"/>
          <w:color w:val="000000" w:themeColor="text1"/>
          <w:sz w:val="32"/>
          <w:szCs w:val="32"/>
          <w:lang w:eastAsia="zh-CN"/>
        </w:rPr>
        <w:t>财政补助标准3</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eastAsia="zh-CN"/>
        </w:rPr>
        <w:t>年预计参保63万人*预计人均配套3</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eastAsia="zh-CN"/>
        </w:rPr>
        <w:t>元=2</w:t>
      </w:r>
      <w:r>
        <w:rPr>
          <w:rFonts w:hint="default" w:ascii="Times New Roman" w:hAnsi="Times New Roman" w:eastAsia="仿宋_GB2312" w:cs="Times New Roman"/>
          <w:color w:val="000000" w:themeColor="text1"/>
          <w:sz w:val="32"/>
          <w:szCs w:val="32"/>
          <w:lang w:val="en-US" w:eastAsia="zh-CN"/>
        </w:rPr>
        <w:t>205</w:t>
      </w:r>
      <w:r>
        <w:rPr>
          <w:rFonts w:hint="default" w:ascii="Times New Roman" w:hAnsi="Times New Roman" w:eastAsia="仿宋_GB2312" w:cs="Times New Roman"/>
          <w:color w:val="000000" w:themeColor="text1"/>
          <w:sz w:val="32"/>
          <w:szCs w:val="32"/>
          <w:lang w:eastAsia="zh-CN"/>
        </w:rPr>
        <w:t>万元。</w:t>
      </w:r>
    </w:p>
    <w:p w14:paraId="740701DD">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2170万元。</w:t>
      </w:r>
    </w:p>
    <w:p w14:paraId="533E97D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643"/>
        <w:gridCol w:w="706"/>
        <w:gridCol w:w="1864"/>
        <w:gridCol w:w="1478"/>
        <w:gridCol w:w="860"/>
        <w:gridCol w:w="1842"/>
        <w:gridCol w:w="1793"/>
      </w:tblGrid>
      <w:tr w14:paraId="1352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40" w:type="dxa"/>
            <w:gridSpan w:val="8"/>
            <w:tcBorders>
              <w:top w:val="nil"/>
              <w:left w:val="nil"/>
              <w:bottom w:val="nil"/>
              <w:right w:val="nil"/>
            </w:tcBorders>
            <w:shd w:val="clear" w:color="auto" w:fill="auto"/>
            <w:vAlign w:val="center"/>
          </w:tcPr>
          <w:p w14:paraId="08A0D8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1075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40" w:type="dxa"/>
            <w:gridSpan w:val="8"/>
            <w:tcBorders>
              <w:top w:val="nil"/>
              <w:left w:val="nil"/>
              <w:bottom w:val="nil"/>
              <w:right w:val="nil"/>
            </w:tcBorders>
            <w:shd w:val="clear" w:color="auto" w:fill="auto"/>
            <w:vAlign w:val="center"/>
          </w:tcPr>
          <w:p w14:paraId="67A4DEA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2025  年度）</w:t>
            </w:r>
          </w:p>
        </w:tc>
      </w:tr>
      <w:tr w14:paraId="2FAC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03" w:type="dxa"/>
            <w:gridSpan w:val="3"/>
            <w:tcBorders>
              <w:top w:val="single" w:color="000000" w:sz="4" w:space="0"/>
              <w:left w:val="single" w:color="000000" w:sz="4" w:space="0"/>
              <w:bottom w:val="single" w:color="000000" w:sz="4" w:space="0"/>
              <w:right w:val="nil"/>
            </w:tcBorders>
            <w:shd w:val="clear" w:color="auto" w:fill="auto"/>
            <w:vAlign w:val="center"/>
          </w:tcPr>
          <w:p w14:paraId="300B24A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4F3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城乡居民医疗保险补助</w:t>
            </w:r>
          </w:p>
        </w:tc>
      </w:tr>
      <w:tr w14:paraId="7486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903" w:type="dxa"/>
            <w:gridSpan w:val="3"/>
            <w:tcBorders>
              <w:top w:val="single" w:color="000000" w:sz="4" w:space="0"/>
              <w:left w:val="single" w:color="000000" w:sz="4" w:space="0"/>
              <w:bottom w:val="single" w:color="000000" w:sz="4" w:space="0"/>
              <w:right w:val="nil"/>
            </w:tcBorders>
            <w:shd w:val="clear" w:color="auto" w:fill="auto"/>
            <w:vAlign w:val="center"/>
          </w:tcPr>
          <w:p w14:paraId="7133E8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主管部门及代码</w:t>
            </w:r>
          </w:p>
        </w:tc>
        <w:tc>
          <w:tcPr>
            <w:tcW w:w="3342" w:type="dxa"/>
            <w:gridSpan w:val="2"/>
            <w:tcBorders>
              <w:top w:val="single" w:color="000000" w:sz="4" w:space="0"/>
              <w:left w:val="single" w:color="000000" w:sz="4" w:space="0"/>
              <w:bottom w:val="single" w:color="000000" w:sz="4" w:space="0"/>
              <w:right w:val="nil"/>
            </w:tcBorders>
            <w:shd w:val="clear" w:color="auto" w:fill="auto"/>
            <w:vAlign w:val="center"/>
          </w:tcPr>
          <w:p w14:paraId="0114A75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[107]淮北市医疗保障局</w:t>
            </w:r>
          </w:p>
        </w:tc>
        <w:tc>
          <w:tcPr>
            <w:tcW w:w="2702" w:type="dxa"/>
            <w:gridSpan w:val="2"/>
            <w:tcBorders>
              <w:top w:val="single" w:color="000000" w:sz="4" w:space="0"/>
              <w:left w:val="single" w:color="000000" w:sz="4" w:space="0"/>
              <w:bottom w:val="single" w:color="000000" w:sz="4" w:space="0"/>
              <w:right w:val="nil"/>
            </w:tcBorders>
            <w:shd w:val="clear" w:color="auto" w:fill="auto"/>
            <w:vAlign w:val="center"/>
          </w:tcPr>
          <w:p w14:paraId="2B8F087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9A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淮北市医疗生育保险管理服务中心</w:t>
            </w:r>
          </w:p>
        </w:tc>
      </w:tr>
      <w:tr w14:paraId="7C9E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903" w:type="dxa"/>
            <w:gridSpan w:val="3"/>
            <w:tcBorders>
              <w:top w:val="single" w:color="000000" w:sz="4" w:space="0"/>
              <w:left w:val="single" w:color="000000" w:sz="4" w:space="0"/>
              <w:bottom w:val="single" w:color="000000" w:sz="4" w:space="0"/>
              <w:right w:val="nil"/>
            </w:tcBorders>
            <w:shd w:val="clear" w:color="auto" w:fill="auto"/>
            <w:vAlign w:val="center"/>
          </w:tcPr>
          <w:p w14:paraId="492775C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项目属性</w:t>
            </w:r>
          </w:p>
        </w:tc>
        <w:tc>
          <w:tcPr>
            <w:tcW w:w="3342" w:type="dxa"/>
            <w:gridSpan w:val="2"/>
            <w:tcBorders>
              <w:top w:val="single" w:color="000000" w:sz="4" w:space="0"/>
              <w:left w:val="single" w:color="000000" w:sz="4" w:space="0"/>
              <w:bottom w:val="single" w:color="000000" w:sz="4" w:space="0"/>
              <w:right w:val="nil"/>
            </w:tcBorders>
            <w:shd w:val="clear" w:color="auto" w:fill="auto"/>
            <w:vAlign w:val="center"/>
          </w:tcPr>
          <w:p w14:paraId="093A58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常年项目</w:t>
            </w:r>
          </w:p>
        </w:tc>
        <w:tc>
          <w:tcPr>
            <w:tcW w:w="2702" w:type="dxa"/>
            <w:gridSpan w:val="2"/>
            <w:tcBorders>
              <w:top w:val="single" w:color="000000" w:sz="4" w:space="0"/>
              <w:left w:val="single" w:color="000000" w:sz="4" w:space="0"/>
              <w:bottom w:val="single" w:color="000000" w:sz="4" w:space="0"/>
              <w:right w:val="nil"/>
            </w:tcBorders>
            <w:shd w:val="clear" w:color="auto" w:fill="auto"/>
            <w:vAlign w:val="center"/>
          </w:tcPr>
          <w:p w14:paraId="11CCE72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项目期</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E2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1年 </w:t>
            </w:r>
          </w:p>
        </w:tc>
      </w:tr>
      <w:tr w14:paraId="55BF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903"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722488D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项目资金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（万元）</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26A91A05">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中期资金总额：</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493F98C4">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28670.60 </w:t>
            </w:r>
          </w:p>
        </w:tc>
        <w:tc>
          <w:tcPr>
            <w:tcW w:w="2702" w:type="dxa"/>
            <w:gridSpan w:val="2"/>
            <w:tcBorders>
              <w:top w:val="single" w:color="000000" w:sz="4" w:space="0"/>
              <w:left w:val="single" w:color="000000" w:sz="4" w:space="0"/>
              <w:bottom w:val="single" w:color="000000" w:sz="4" w:space="0"/>
              <w:right w:val="nil"/>
            </w:tcBorders>
            <w:shd w:val="clear" w:color="auto" w:fill="auto"/>
            <w:vAlign w:val="center"/>
          </w:tcPr>
          <w:p w14:paraId="4E08FF5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年度资金总额：</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E30">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r>
      <w:tr w14:paraId="2786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90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FCA005E">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5593D0C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460BAB90">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28670.60 </w:t>
            </w:r>
          </w:p>
        </w:tc>
        <w:tc>
          <w:tcPr>
            <w:tcW w:w="2702" w:type="dxa"/>
            <w:gridSpan w:val="2"/>
            <w:tcBorders>
              <w:top w:val="single" w:color="000000" w:sz="4" w:space="0"/>
              <w:left w:val="single" w:color="000000" w:sz="4" w:space="0"/>
              <w:bottom w:val="single" w:color="000000" w:sz="4" w:space="0"/>
              <w:right w:val="nil"/>
            </w:tcBorders>
            <w:shd w:val="clear" w:color="auto" w:fill="auto"/>
            <w:vAlign w:val="center"/>
          </w:tcPr>
          <w:p w14:paraId="36059874">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DFEC">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r>
      <w:tr w14:paraId="79F6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90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7618666">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367FE08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4C4674F0">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c>
          <w:tcPr>
            <w:tcW w:w="2702" w:type="dxa"/>
            <w:gridSpan w:val="2"/>
            <w:tcBorders>
              <w:top w:val="single" w:color="000000" w:sz="4" w:space="0"/>
              <w:left w:val="single" w:color="000000" w:sz="4" w:space="0"/>
              <w:bottom w:val="single" w:color="000000" w:sz="4" w:space="0"/>
              <w:right w:val="nil"/>
            </w:tcBorders>
            <w:shd w:val="clear" w:color="auto" w:fill="auto"/>
            <w:vAlign w:val="center"/>
          </w:tcPr>
          <w:p w14:paraId="6B08EFA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3D59">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r>
      <w:tr w14:paraId="12D4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54" w:type="dxa"/>
            <w:vMerge w:val="restart"/>
            <w:tcBorders>
              <w:top w:val="single" w:color="000000" w:sz="4" w:space="0"/>
              <w:left w:val="single" w:color="000000" w:sz="4" w:space="0"/>
              <w:bottom w:val="single" w:color="000000" w:sz="4" w:space="0"/>
              <w:right w:val="nil"/>
            </w:tcBorders>
            <w:shd w:val="clear" w:color="auto" w:fill="auto"/>
            <w:vAlign w:val="center"/>
          </w:tcPr>
          <w:p w14:paraId="5DB8C70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体</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4691" w:type="dxa"/>
            <w:gridSpan w:val="4"/>
            <w:tcBorders>
              <w:top w:val="single" w:color="000000" w:sz="4" w:space="0"/>
              <w:left w:val="single" w:color="000000" w:sz="4" w:space="0"/>
              <w:bottom w:val="single" w:color="000000" w:sz="4" w:space="0"/>
              <w:right w:val="nil"/>
            </w:tcBorders>
            <w:shd w:val="clear" w:color="auto" w:fill="auto"/>
            <w:vAlign w:val="center"/>
          </w:tcPr>
          <w:p w14:paraId="0108B4A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中期目标（2025年—2025年）</w:t>
            </w:r>
          </w:p>
        </w:tc>
        <w:tc>
          <w:tcPr>
            <w:tcW w:w="4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8FD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w:t>
            </w:r>
          </w:p>
        </w:tc>
      </w:tr>
      <w:tr w14:paraId="6849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554" w:type="dxa"/>
            <w:vMerge w:val="continue"/>
            <w:tcBorders>
              <w:top w:val="single" w:color="000000" w:sz="4" w:space="0"/>
              <w:left w:val="single" w:color="000000" w:sz="4" w:space="0"/>
              <w:bottom w:val="single" w:color="000000" w:sz="4" w:space="0"/>
              <w:right w:val="nil"/>
            </w:tcBorders>
            <w:shd w:val="clear" w:color="auto" w:fill="auto"/>
            <w:vAlign w:val="center"/>
          </w:tcPr>
          <w:p w14:paraId="11BC018F">
            <w:pPr>
              <w:jc w:val="center"/>
              <w:rPr>
                <w:rFonts w:hint="eastAsia" w:ascii="仿宋_GB2312" w:hAnsi="仿宋_GB2312" w:eastAsia="仿宋_GB2312" w:cs="仿宋_GB2312"/>
                <w:i w:val="0"/>
                <w:iCs w:val="0"/>
                <w:color w:val="000000"/>
                <w:sz w:val="18"/>
                <w:szCs w:val="18"/>
                <w:u w:val="none"/>
              </w:rPr>
            </w:pPr>
          </w:p>
        </w:tc>
        <w:tc>
          <w:tcPr>
            <w:tcW w:w="4691" w:type="dxa"/>
            <w:gridSpan w:val="4"/>
            <w:tcBorders>
              <w:top w:val="single" w:color="000000" w:sz="4" w:space="0"/>
              <w:left w:val="single" w:color="000000" w:sz="4" w:space="0"/>
              <w:bottom w:val="single" w:color="000000" w:sz="4" w:space="0"/>
              <w:right w:val="nil"/>
            </w:tcBorders>
            <w:shd w:val="clear" w:color="auto" w:fill="auto"/>
            <w:vAlign w:val="center"/>
          </w:tcPr>
          <w:p w14:paraId="258EA04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城乡居民医疗保险是政府组织、引导、支持城乡居民以户为单位自愿参加，个人、集体和政府多方筹资，以大病统筹为主，兼顾城乡居民受益面的农民医疗互助共济制度。    </w:t>
            </w:r>
          </w:p>
        </w:tc>
        <w:tc>
          <w:tcPr>
            <w:tcW w:w="4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7B5B8">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城乡居民医疗保险是政府组织、引导、支持城乡居民以户为单位自愿参加，个人、集体和政府多方筹资，以大病统筹为主，兼顾城乡居民受益面的农民医疗互助共济制度。    </w:t>
            </w:r>
          </w:p>
        </w:tc>
      </w:tr>
      <w:tr w14:paraId="526E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5185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指</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643" w:type="dxa"/>
            <w:tcBorders>
              <w:top w:val="single" w:color="000000" w:sz="4" w:space="0"/>
              <w:left w:val="nil"/>
              <w:bottom w:val="single" w:color="000000" w:sz="4" w:space="0"/>
              <w:right w:val="nil"/>
            </w:tcBorders>
            <w:shd w:val="clear" w:color="auto" w:fill="auto"/>
            <w:vAlign w:val="center"/>
          </w:tcPr>
          <w:p w14:paraId="215DE15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706" w:type="dxa"/>
            <w:tcBorders>
              <w:top w:val="single" w:color="000000" w:sz="4" w:space="0"/>
              <w:left w:val="single" w:color="000000" w:sz="4" w:space="0"/>
              <w:bottom w:val="single" w:color="000000" w:sz="4" w:space="0"/>
              <w:right w:val="nil"/>
            </w:tcBorders>
            <w:shd w:val="clear" w:color="auto" w:fill="auto"/>
            <w:vAlign w:val="center"/>
          </w:tcPr>
          <w:p w14:paraId="1C8CBB8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16B9642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6C273F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860" w:type="dxa"/>
            <w:tcBorders>
              <w:top w:val="single" w:color="000000" w:sz="4" w:space="0"/>
              <w:left w:val="single" w:color="000000" w:sz="4" w:space="0"/>
              <w:bottom w:val="single" w:color="000000" w:sz="4" w:space="0"/>
              <w:right w:val="nil"/>
            </w:tcBorders>
            <w:shd w:val="clear" w:color="auto" w:fill="auto"/>
            <w:vAlign w:val="center"/>
          </w:tcPr>
          <w:p w14:paraId="7DB49E5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30ACB0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CE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r>
      <w:tr w14:paraId="2FCF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D9AB">
            <w:pPr>
              <w:jc w:val="center"/>
              <w:rPr>
                <w:rFonts w:hint="eastAsia" w:ascii="仿宋_GB2312" w:hAnsi="仿宋_GB2312" w:eastAsia="仿宋_GB2312" w:cs="仿宋_GB2312"/>
                <w:i w:val="0"/>
                <w:iCs w:val="0"/>
                <w:color w:val="000000"/>
                <w:sz w:val="18"/>
                <w:szCs w:val="18"/>
                <w:u w:val="none"/>
              </w:rPr>
            </w:pPr>
          </w:p>
        </w:tc>
        <w:tc>
          <w:tcPr>
            <w:tcW w:w="643" w:type="dxa"/>
            <w:vMerge w:val="restart"/>
            <w:tcBorders>
              <w:top w:val="single" w:color="000000" w:sz="4" w:space="0"/>
              <w:left w:val="nil"/>
              <w:bottom w:val="single" w:color="000000" w:sz="4" w:space="0"/>
              <w:right w:val="nil"/>
            </w:tcBorders>
            <w:shd w:val="clear" w:color="auto" w:fill="auto"/>
            <w:vAlign w:val="center"/>
          </w:tcPr>
          <w:p w14:paraId="5AED56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706" w:type="dxa"/>
            <w:vMerge w:val="restart"/>
            <w:tcBorders>
              <w:top w:val="single" w:color="000000" w:sz="4" w:space="0"/>
              <w:left w:val="single" w:color="000000" w:sz="4" w:space="0"/>
              <w:bottom w:val="single" w:color="000000" w:sz="4" w:space="0"/>
              <w:right w:val="nil"/>
            </w:tcBorders>
            <w:shd w:val="clear" w:color="auto" w:fill="auto"/>
            <w:vAlign w:val="center"/>
          </w:tcPr>
          <w:p w14:paraId="0300D1A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640207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补助标准</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07521B4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≥700元</w:t>
            </w:r>
          </w:p>
        </w:tc>
        <w:tc>
          <w:tcPr>
            <w:tcW w:w="860" w:type="dxa"/>
            <w:vMerge w:val="restart"/>
            <w:tcBorders>
              <w:top w:val="single" w:color="000000" w:sz="4" w:space="0"/>
              <w:left w:val="single" w:color="000000" w:sz="4" w:space="0"/>
              <w:bottom w:val="single" w:color="000000" w:sz="4" w:space="0"/>
              <w:right w:val="nil"/>
            </w:tcBorders>
            <w:shd w:val="clear" w:color="auto" w:fill="auto"/>
            <w:vAlign w:val="center"/>
          </w:tcPr>
          <w:p w14:paraId="2777FBB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788C45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参保人数</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B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≥58万人</w:t>
            </w:r>
          </w:p>
        </w:tc>
      </w:tr>
      <w:tr w14:paraId="2550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7E2DB">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2B28070C">
            <w:pPr>
              <w:jc w:val="center"/>
              <w:rPr>
                <w:rFonts w:hint="eastAsia" w:ascii="仿宋_GB2312" w:hAnsi="仿宋_GB2312" w:eastAsia="仿宋_GB2312" w:cs="仿宋_GB2312"/>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nil"/>
            </w:tcBorders>
            <w:shd w:val="clear" w:color="auto" w:fill="auto"/>
            <w:vAlign w:val="center"/>
          </w:tcPr>
          <w:p w14:paraId="6304429D">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37FCE62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参保人数</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481F0F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≥58万人</w:t>
            </w:r>
          </w:p>
        </w:tc>
        <w:tc>
          <w:tcPr>
            <w:tcW w:w="860" w:type="dxa"/>
            <w:vMerge w:val="continue"/>
            <w:tcBorders>
              <w:top w:val="single" w:color="000000" w:sz="4" w:space="0"/>
              <w:left w:val="single" w:color="000000" w:sz="4" w:space="0"/>
              <w:bottom w:val="single" w:color="000000" w:sz="4" w:space="0"/>
              <w:right w:val="nil"/>
            </w:tcBorders>
            <w:shd w:val="clear" w:color="auto" w:fill="auto"/>
            <w:vAlign w:val="center"/>
          </w:tcPr>
          <w:p w14:paraId="72B996C8">
            <w:pPr>
              <w:jc w:val="center"/>
              <w:rPr>
                <w:rFonts w:hint="eastAsia" w:ascii="仿宋_GB2312" w:hAnsi="仿宋_GB2312" w:eastAsia="仿宋_GB2312" w:cs="仿宋_GB2312"/>
                <w:i w:val="0"/>
                <w:iCs w:val="0"/>
                <w:color w:val="000000"/>
                <w:sz w:val="18"/>
                <w:szCs w:val="18"/>
                <w:u w:val="none"/>
              </w:rPr>
            </w:pP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38E432E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财政补助 标准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F40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≥700元</w:t>
            </w:r>
          </w:p>
        </w:tc>
      </w:tr>
      <w:tr w14:paraId="2A9B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423E">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2924EB45">
            <w:pPr>
              <w:jc w:val="center"/>
              <w:rPr>
                <w:rFonts w:hint="eastAsia" w:ascii="仿宋_GB2312" w:hAnsi="仿宋_GB2312" w:eastAsia="仿宋_GB2312" w:cs="仿宋_GB2312"/>
                <w:i w:val="0"/>
                <w:iCs w:val="0"/>
                <w:color w:val="000000"/>
                <w:sz w:val="18"/>
                <w:szCs w:val="18"/>
                <w:u w:val="none"/>
              </w:rPr>
            </w:pPr>
          </w:p>
        </w:tc>
        <w:tc>
          <w:tcPr>
            <w:tcW w:w="706" w:type="dxa"/>
            <w:vMerge w:val="restart"/>
            <w:tcBorders>
              <w:top w:val="single" w:color="000000" w:sz="4" w:space="0"/>
              <w:left w:val="single" w:color="000000" w:sz="4" w:space="0"/>
              <w:bottom w:val="single" w:color="000000" w:sz="4" w:space="0"/>
              <w:right w:val="nil"/>
            </w:tcBorders>
            <w:shd w:val="clear" w:color="auto" w:fill="auto"/>
            <w:vAlign w:val="center"/>
          </w:tcPr>
          <w:p w14:paraId="355C2C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3832917D">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开展门诊统筹，实行个人账户的，向门诊统筹过渡</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65326B7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普遍开展</w:t>
            </w:r>
          </w:p>
        </w:tc>
        <w:tc>
          <w:tcPr>
            <w:tcW w:w="860" w:type="dxa"/>
            <w:vMerge w:val="restart"/>
            <w:tcBorders>
              <w:top w:val="single" w:color="000000" w:sz="4" w:space="0"/>
              <w:left w:val="single" w:color="000000" w:sz="4" w:space="0"/>
              <w:bottom w:val="single" w:color="000000" w:sz="4" w:space="0"/>
              <w:right w:val="nil"/>
            </w:tcBorders>
            <w:shd w:val="clear" w:color="auto" w:fill="auto"/>
            <w:vAlign w:val="center"/>
          </w:tcPr>
          <w:p w14:paraId="23F47A7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14EC5A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参保人政策范围内住院费用报销比</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19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r>
      <w:tr w14:paraId="2410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DB02F">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0C68CD69">
            <w:pPr>
              <w:jc w:val="center"/>
              <w:rPr>
                <w:rFonts w:hint="eastAsia" w:ascii="仿宋_GB2312" w:hAnsi="仿宋_GB2312" w:eastAsia="仿宋_GB2312" w:cs="仿宋_GB2312"/>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nil"/>
            </w:tcBorders>
            <w:shd w:val="clear" w:color="auto" w:fill="auto"/>
            <w:vAlign w:val="center"/>
          </w:tcPr>
          <w:p w14:paraId="628D325D">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1C06F9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实行按病种（组）、按分值付费等支付方式</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464920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≥200种</w:t>
            </w:r>
          </w:p>
        </w:tc>
        <w:tc>
          <w:tcPr>
            <w:tcW w:w="860" w:type="dxa"/>
            <w:vMerge w:val="continue"/>
            <w:tcBorders>
              <w:top w:val="single" w:color="000000" w:sz="4" w:space="0"/>
              <w:left w:val="single" w:color="000000" w:sz="4" w:space="0"/>
              <w:bottom w:val="single" w:color="000000" w:sz="4" w:space="0"/>
              <w:right w:val="nil"/>
            </w:tcBorders>
            <w:shd w:val="clear" w:color="auto" w:fill="auto"/>
            <w:vAlign w:val="center"/>
          </w:tcPr>
          <w:p w14:paraId="3A6F56C8">
            <w:pPr>
              <w:jc w:val="center"/>
              <w:rPr>
                <w:rFonts w:hint="eastAsia" w:ascii="仿宋_GB2312" w:hAnsi="仿宋_GB2312" w:eastAsia="仿宋_GB2312" w:cs="仿宋_GB2312"/>
                <w:i w:val="0"/>
                <w:iCs w:val="0"/>
                <w:color w:val="000000"/>
                <w:sz w:val="18"/>
                <w:szCs w:val="18"/>
                <w:u w:val="none"/>
              </w:rPr>
            </w:pP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0E3551A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参保人住院费用实际报销比</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93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r>
      <w:tr w14:paraId="0737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0BCAF">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5B0D1FF3">
            <w:pPr>
              <w:jc w:val="center"/>
              <w:rPr>
                <w:rFonts w:hint="eastAsia" w:ascii="仿宋_GB2312" w:hAnsi="仿宋_GB2312" w:eastAsia="仿宋_GB2312" w:cs="仿宋_GB2312"/>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nil"/>
            </w:tcBorders>
            <w:shd w:val="clear" w:color="auto" w:fill="auto"/>
            <w:vAlign w:val="center"/>
          </w:tcPr>
          <w:p w14:paraId="61F6B99C">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6CB54F4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参保人住院费用实际报销比</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6FD345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860" w:type="dxa"/>
            <w:vMerge w:val="continue"/>
            <w:tcBorders>
              <w:top w:val="single" w:color="000000" w:sz="4" w:space="0"/>
              <w:left w:val="single" w:color="000000" w:sz="4" w:space="0"/>
              <w:bottom w:val="single" w:color="000000" w:sz="4" w:space="0"/>
              <w:right w:val="nil"/>
            </w:tcBorders>
            <w:shd w:val="clear" w:color="auto" w:fill="auto"/>
            <w:vAlign w:val="center"/>
          </w:tcPr>
          <w:p w14:paraId="16317579">
            <w:pPr>
              <w:jc w:val="center"/>
              <w:rPr>
                <w:rFonts w:hint="eastAsia" w:ascii="仿宋_GB2312" w:hAnsi="仿宋_GB2312" w:eastAsia="仿宋_GB2312" w:cs="仿宋_GB2312"/>
                <w:i w:val="0"/>
                <w:iCs w:val="0"/>
                <w:color w:val="000000"/>
                <w:sz w:val="18"/>
                <w:szCs w:val="18"/>
                <w:u w:val="none"/>
              </w:rPr>
            </w:pP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1A07E5A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实行按病种（组）、按分值付费等支付方式</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91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≥200种</w:t>
            </w:r>
          </w:p>
        </w:tc>
      </w:tr>
      <w:tr w14:paraId="6FC5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8A87E">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15B57995">
            <w:pPr>
              <w:jc w:val="center"/>
              <w:rPr>
                <w:rFonts w:hint="eastAsia" w:ascii="仿宋_GB2312" w:hAnsi="仿宋_GB2312" w:eastAsia="仿宋_GB2312" w:cs="仿宋_GB2312"/>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nil"/>
            </w:tcBorders>
            <w:shd w:val="clear" w:color="auto" w:fill="auto"/>
            <w:vAlign w:val="center"/>
          </w:tcPr>
          <w:p w14:paraId="5309F065">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5A6B7F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参保人政策范围内住院费用报销比</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5201E0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860" w:type="dxa"/>
            <w:vMerge w:val="continue"/>
            <w:tcBorders>
              <w:top w:val="single" w:color="000000" w:sz="4" w:space="0"/>
              <w:left w:val="single" w:color="000000" w:sz="4" w:space="0"/>
              <w:bottom w:val="single" w:color="000000" w:sz="4" w:space="0"/>
              <w:right w:val="nil"/>
            </w:tcBorders>
            <w:shd w:val="clear" w:color="auto" w:fill="auto"/>
            <w:vAlign w:val="center"/>
          </w:tcPr>
          <w:p w14:paraId="0A730EA1">
            <w:pPr>
              <w:jc w:val="center"/>
              <w:rPr>
                <w:rFonts w:hint="eastAsia" w:ascii="仿宋_GB2312" w:hAnsi="仿宋_GB2312" w:eastAsia="仿宋_GB2312" w:cs="仿宋_GB2312"/>
                <w:i w:val="0"/>
                <w:iCs w:val="0"/>
                <w:color w:val="000000"/>
                <w:sz w:val="18"/>
                <w:szCs w:val="18"/>
                <w:u w:val="none"/>
              </w:rPr>
            </w:pP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487EC79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以常住人口为基础计算的基本医保综合参保率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88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r>
      <w:tr w14:paraId="4CA0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0D449">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3DD8681A">
            <w:pPr>
              <w:jc w:val="center"/>
              <w:rPr>
                <w:rFonts w:hint="eastAsia" w:ascii="仿宋_GB2312" w:hAnsi="仿宋_GB2312" w:eastAsia="仿宋_GB2312" w:cs="仿宋_GB2312"/>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nil"/>
            </w:tcBorders>
            <w:shd w:val="clear" w:color="auto" w:fill="auto"/>
            <w:vAlign w:val="center"/>
          </w:tcPr>
          <w:p w14:paraId="03A66300">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762DABF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以常住人口为基础计算的基本医保综合参保率</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6B3DA7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860" w:type="dxa"/>
            <w:vMerge w:val="continue"/>
            <w:tcBorders>
              <w:top w:val="single" w:color="000000" w:sz="4" w:space="0"/>
              <w:left w:val="single" w:color="000000" w:sz="4" w:space="0"/>
              <w:bottom w:val="single" w:color="000000" w:sz="4" w:space="0"/>
              <w:right w:val="nil"/>
            </w:tcBorders>
            <w:shd w:val="clear" w:color="auto" w:fill="auto"/>
            <w:vAlign w:val="center"/>
          </w:tcPr>
          <w:p w14:paraId="30E905B0">
            <w:pPr>
              <w:jc w:val="center"/>
              <w:rPr>
                <w:rFonts w:hint="eastAsia" w:ascii="仿宋_GB2312" w:hAnsi="仿宋_GB2312" w:eastAsia="仿宋_GB2312" w:cs="仿宋_GB2312"/>
                <w:i w:val="0"/>
                <w:iCs w:val="0"/>
                <w:color w:val="000000"/>
                <w:sz w:val="18"/>
                <w:szCs w:val="18"/>
                <w:u w:val="none"/>
              </w:rPr>
            </w:pP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2518E8F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以户籍人口为基础计算的基本医保综合参保率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2F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r>
      <w:tr w14:paraId="457B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C6A02">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55446CF5">
            <w:pPr>
              <w:jc w:val="center"/>
              <w:rPr>
                <w:rFonts w:hint="eastAsia" w:ascii="仿宋_GB2312" w:hAnsi="仿宋_GB2312" w:eastAsia="仿宋_GB2312" w:cs="仿宋_GB2312"/>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nil"/>
            </w:tcBorders>
            <w:shd w:val="clear" w:color="auto" w:fill="auto"/>
            <w:vAlign w:val="center"/>
          </w:tcPr>
          <w:p w14:paraId="5A3399D5">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0748AEF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以户籍人口为基础计算的基本医保综合参保率</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234191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860" w:type="dxa"/>
            <w:vMerge w:val="continue"/>
            <w:tcBorders>
              <w:top w:val="single" w:color="000000" w:sz="4" w:space="0"/>
              <w:left w:val="single" w:color="000000" w:sz="4" w:space="0"/>
              <w:bottom w:val="single" w:color="000000" w:sz="4" w:space="0"/>
              <w:right w:val="nil"/>
            </w:tcBorders>
            <w:shd w:val="clear" w:color="auto" w:fill="auto"/>
            <w:vAlign w:val="center"/>
          </w:tcPr>
          <w:p w14:paraId="4F40E277">
            <w:pPr>
              <w:jc w:val="center"/>
              <w:rPr>
                <w:rFonts w:hint="eastAsia" w:ascii="仿宋_GB2312" w:hAnsi="仿宋_GB2312" w:eastAsia="仿宋_GB2312" w:cs="仿宋_GB2312"/>
                <w:i w:val="0"/>
                <w:iCs w:val="0"/>
                <w:color w:val="000000"/>
                <w:sz w:val="18"/>
                <w:szCs w:val="18"/>
                <w:u w:val="none"/>
              </w:rPr>
            </w:pP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0FBE209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开展门诊统筹，实行个人账户的，向门诊统筹过渡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BBC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普遍开展</w:t>
            </w:r>
          </w:p>
        </w:tc>
      </w:tr>
      <w:tr w14:paraId="2FA1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345B">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39850FF0">
            <w:pPr>
              <w:jc w:val="center"/>
              <w:rPr>
                <w:rFonts w:hint="eastAsia" w:ascii="仿宋_GB2312" w:hAnsi="仿宋_GB2312" w:eastAsia="仿宋_GB2312" w:cs="仿宋_GB2312"/>
                <w:i w:val="0"/>
                <w:iCs w:val="0"/>
                <w:color w:val="000000"/>
                <w:sz w:val="18"/>
                <w:szCs w:val="18"/>
                <w:u w:val="none"/>
              </w:rPr>
            </w:pPr>
          </w:p>
        </w:tc>
        <w:tc>
          <w:tcPr>
            <w:tcW w:w="706" w:type="dxa"/>
            <w:tcBorders>
              <w:top w:val="single" w:color="000000" w:sz="4" w:space="0"/>
              <w:left w:val="single" w:color="000000" w:sz="4" w:space="0"/>
              <w:bottom w:val="single" w:color="000000" w:sz="4" w:space="0"/>
              <w:right w:val="nil"/>
            </w:tcBorders>
            <w:shd w:val="clear" w:color="auto" w:fill="auto"/>
            <w:vAlign w:val="center"/>
          </w:tcPr>
          <w:p w14:paraId="3B8BF31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5483AF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医疗待遇支付及时性</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1C41EB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承诺工作日完成</w:t>
            </w:r>
          </w:p>
        </w:tc>
        <w:tc>
          <w:tcPr>
            <w:tcW w:w="860" w:type="dxa"/>
            <w:tcBorders>
              <w:top w:val="single" w:color="000000" w:sz="4" w:space="0"/>
              <w:left w:val="single" w:color="000000" w:sz="4" w:space="0"/>
              <w:bottom w:val="single" w:color="000000" w:sz="4" w:space="0"/>
              <w:right w:val="nil"/>
            </w:tcBorders>
            <w:shd w:val="clear" w:color="auto" w:fill="auto"/>
            <w:vAlign w:val="center"/>
          </w:tcPr>
          <w:p w14:paraId="71FF9D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7027DBF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医疗待遇支付及时性</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6D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承诺工作日完成</w:t>
            </w:r>
          </w:p>
        </w:tc>
      </w:tr>
      <w:tr w14:paraId="4381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85EA">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40082B19">
            <w:pPr>
              <w:jc w:val="center"/>
              <w:rPr>
                <w:rFonts w:hint="eastAsia" w:ascii="仿宋_GB2312" w:hAnsi="仿宋_GB2312" w:eastAsia="仿宋_GB2312" w:cs="仿宋_GB2312"/>
                <w:i w:val="0"/>
                <w:iCs w:val="0"/>
                <w:color w:val="000000"/>
                <w:sz w:val="18"/>
                <w:szCs w:val="18"/>
                <w:u w:val="none"/>
              </w:rPr>
            </w:pPr>
          </w:p>
        </w:tc>
        <w:tc>
          <w:tcPr>
            <w:tcW w:w="706" w:type="dxa"/>
            <w:tcBorders>
              <w:top w:val="single" w:color="000000" w:sz="4" w:space="0"/>
              <w:left w:val="single" w:color="000000" w:sz="4" w:space="0"/>
              <w:bottom w:val="single" w:color="000000" w:sz="4" w:space="0"/>
              <w:right w:val="nil"/>
            </w:tcBorders>
            <w:shd w:val="clear" w:color="auto" w:fill="auto"/>
            <w:vAlign w:val="center"/>
          </w:tcPr>
          <w:p w14:paraId="05EFB9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3289C5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成本不相关</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104A9B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成本不相关</w:t>
            </w:r>
          </w:p>
        </w:tc>
        <w:tc>
          <w:tcPr>
            <w:tcW w:w="860" w:type="dxa"/>
            <w:tcBorders>
              <w:top w:val="single" w:color="000000" w:sz="4" w:space="0"/>
              <w:left w:val="single" w:color="000000" w:sz="4" w:space="0"/>
              <w:bottom w:val="single" w:color="000000" w:sz="4" w:space="0"/>
              <w:right w:val="nil"/>
            </w:tcBorders>
            <w:shd w:val="clear" w:color="auto" w:fill="auto"/>
            <w:vAlign w:val="center"/>
          </w:tcPr>
          <w:p w14:paraId="3C2A60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0EDE8D5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成本与项目不相关</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DC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成本与项目不相关</w:t>
            </w:r>
          </w:p>
        </w:tc>
      </w:tr>
      <w:tr w14:paraId="3BDD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321A">
            <w:pPr>
              <w:jc w:val="center"/>
              <w:rPr>
                <w:rFonts w:hint="eastAsia" w:ascii="仿宋_GB2312" w:hAnsi="仿宋_GB2312" w:eastAsia="仿宋_GB2312" w:cs="仿宋_GB2312"/>
                <w:i w:val="0"/>
                <w:iCs w:val="0"/>
                <w:color w:val="000000"/>
                <w:sz w:val="18"/>
                <w:szCs w:val="18"/>
                <w:u w:val="none"/>
              </w:rPr>
            </w:pPr>
          </w:p>
        </w:tc>
        <w:tc>
          <w:tcPr>
            <w:tcW w:w="643" w:type="dxa"/>
            <w:vMerge w:val="restart"/>
            <w:tcBorders>
              <w:top w:val="single" w:color="000000" w:sz="4" w:space="0"/>
              <w:left w:val="nil"/>
              <w:bottom w:val="single" w:color="000000" w:sz="4" w:space="0"/>
              <w:right w:val="nil"/>
            </w:tcBorders>
            <w:shd w:val="clear" w:color="auto" w:fill="auto"/>
            <w:vAlign w:val="center"/>
          </w:tcPr>
          <w:p w14:paraId="4050D00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706" w:type="dxa"/>
            <w:tcBorders>
              <w:top w:val="single" w:color="000000" w:sz="4" w:space="0"/>
              <w:left w:val="single" w:color="000000" w:sz="4" w:space="0"/>
              <w:bottom w:val="single" w:color="000000" w:sz="4" w:space="0"/>
              <w:right w:val="nil"/>
            </w:tcBorders>
            <w:shd w:val="clear" w:color="auto" w:fill="auto"/>
            <w:vAlign w:val="center"/>
          </w:tcPr>
          <w:p w14:paraId="5AB94F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2C42AF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经济效益无</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4B2E58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无经济效益</w:t>
            </w:r>
          </w:p>
        </w:tc>
        <w:tc>
          <w:tcPr>
            <w:tcW w:w="860" w:type="dxa"/>
            <w:tcBorders>
              <w:top w:val="single" w:color="000000" w:sz="4" w:space="0"/>
              <w:left w:val="single" w:color="000000" w:sz="4" w:space="0"/>
              <w:bottom w:val="single" w:color="000000" w:sz="4" w:space="0"/>
              <w:right w:val="nil"/>
            </w:tcBorders>
            <w:shd w:val="clear" w:color="auto" w:fill="auto"/>
            <w:vAlign w:val="center"/>
          </w:tcPr>
          <w:p w14:paraId="763191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3579F7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无经济效益</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66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经济效益无</w:t>
            </w:r>
          </w:p>
        </w:tc>
      </w:tr>
      <w:tr w14:paraId="4B0A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4B50">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7F2C3342">
            <w:pPr>
              <w:jc w:val="center"/>
              <w:rPr>
                <w:rFonts w:hint="eastAsia" w:ascii="仿宋_GB2312" w:hAnsi="仿宋_GB2312" w:eastAsia="仿宋_GB2312" w:cs="仿宋_GB2312"/>
                <w:i w:val="0"/>
                <w:iCs w:val="0"/>
                <w:color w:val="000000"/>
                <w:sz w:val="18"/>
                <w:szCs w:val="18"/>
                <w:u w:val="none"/>
              </w:rPr>
            </w:pPr>
          </w:p>
        </w:tc>
        <w:tc>
          <w:tcPr>
            <w:tcW w:w="706" w:type="dxa"/>
            <w:tcBorders>
              <w:top w:val="single" w:color="000000" w:sz="4" w:space="0"/>
              <w:left w:val="single" w:color="000000" w:sz="4" w:space="0"/>
              <w:bottom w:val="single" w:color="000000" w:sz="4" w:space="0"/>
              <w:right w:val="nil"/>
            </w:tcBorders>
            <w:shd w:val="clear" w:color="auto" w:fill="auto"/>
            <w:vAlign w:val="center"/>
          </w:tcPr>
          <w:p w14:paraId="552BBC5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08DB04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项目效益</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29D358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推进市直医疗保障制度改革，保障广大参保人员基本医疗需求</w:t>
            </w:r>
          </w:p>
        </w:tc>
        <w:tc>
          <w:tcPr>
            <w:tcW w:w="860" w:type="dxa"/>
            <w:tcBorders>
              <w:top w:val="single" w:color="000000" w:sz="4" w:space="0"/>
              <w:left w:val="single" w:color="000000" w:sz="4" w:space="0"/>
              <w:bottom w:val="single" w:color="000000" w:sz="4" w:space="0"/>
              <w:right w:val="nil"/>
            </w:tcBorders>
            <w:shd w:val="clear" w:color="auto" w:fill="auto"/>
            <w:vAlign w:val="center"/>
          </w:tcPr>
          <w:p w14:paraId="399A9A9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54C1942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项目效益</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AA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推进市直医疗保障制度改革，保障广大参保人员基本医疗需求</w:t>
            </w:r>
          </w:p>
        </w:tc>
      </w:tr>
      <w:tr w14:paraId="0981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0B701">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74680051">
            <w:pPr>
              <w:jc w:val="center"/>
              <w:rPr>
                <w:rFonts w:hint="eastAsia" w:ascii="仿宋_GB2312" w:hAnsi="仿宋_GB2312" w:eastAsia="仿宋_GB2312" w:cs="仿宋_GB2312"/>
                <w:i w:val="0"/>
                <w:iCs w:val="0"/>
                <w:color w:val="000000"/>
                <w:sz w:val="18"/>
                <w:szCs w:val="18"/>
                <w:u w:val="none"/>
              </w:rPr>
            </w:pPr>
          </w:p>
        </w:tc>
        <w:tc>
          <w:tcPr>
            <w:tcW w:w="706" w:type="dxa"/>
            <w:tcBorders>
              <w:top w:val="single" w:color="000000" w:sz="4" w:space="0"/>
              <w:left w:val="single" w:color="000000" w:sz="4" w:space="0"/>
              <w:bottom w:val="single" w:color="000000" w:sz="4" w:space="0"/>
              <w:right w:val="nil"/>
            </w:tcBorders>
            <w:shd w:val="clear" w:color="auto" w:fill="auto"/>
            <w:vAlign w:val="center"/>
          </w:tcPr>
          <w:p w14:paraId="1757C79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2389A2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生态不相关</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7B0769B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生态不相关</w:t>
            </w:r>
          </w:p>
        </w:tc>
        <w:tc>
          <w:tcPr>
            <w:tcW w:w="860" w:type="dxa"/>
            <w:tcBorders>
              <w:top w:val="single" w:color="000000" w:sz="4" w:space="0"/>
              <w:left w:val="single" w:color="000000" w:sz="4" w:space="0"/>
              <w:bottom w:val="single" w:color="000000" w:sz="4" w:space="0"/>
              <w:right w:val="nil"/>
            </w:tcBorders>
            <w:shd w:val="clear" w:color="auto" w:fill="auto"/>
            <w:vAlign w:val="center"/>
          </w:tcPr>
          <w:p w14:paraId="16E3D4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0857FA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生态效益不相关</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05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生态效益不相关</w:t>
            </w:r>
          </w:p>
        </w:tc>
      </w:tr>
      <w:tr w14:paraId="13C9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EC58D">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1746E4FE">
            <w:pPr>
              <w:jc w:val="center"/>
              <w:rPr>
                <w:rFonts w:hint="eastAsia" w:ascii="仿宋_GB2312" w:hAnsi="仿宋_GB2312" w:eastAsia="仿宋_GB2312" w:cs="仿宋_GB2312"/>
                <w:i w:val="0"/>
                <w:iCs w:val="0"/>
                <w:color w:val="000000"/>
                <w:sz w:val="18"/>
                <w:szCs w:val="18"/>
                <w:u w:val="none"/>
              </w:rPr>
            </w:pPr>
          </w:p>
        </w:tc>
        <w:tc>
          <w:tcPr>
            <w:tcW w:w="706" w:type="dxa"/>
            <w:tcBorders>
              <w:top w:val="single" w:color="000000" w:sz="4" w:space="0"/>
              <w:left w:val="single" w:color="000000" w:sz="4" w:space="0"/>
              <w:bottom w:val="single" w:color="000000" w:sz="4" w:space="0"/>
              <w:right w:val="nil"/>
            </w:tcBorders>
            <w:shd w:val="clear" w:color="auto" w:fill="auto"/>
            <w:vAlign w:val="center"/>
          </w:tcPr>
          <w:p w14:paraId="5C93328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70F549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基金支撑能力</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232A78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≥6月</w:t>
            </w:r>
          </w:p>
        </w:tc>
        <w:tc>
          <w:tcPr>
            <w:tcW w:w="860" w:type="dxa"/>
            <w:tcBorders>
              <w:top w:val="single" w:color="000000" w:sz="4" w:space="0"/>
              <w:left w:val="single" w:color="000000" w:sz="4" w:space="0"/>
              <w:bottom w:val="single" w:color="000000" w:sz="4" w:space="0"/>
              <w:right w:val="nil"/>
            </w:tcBorders>
            <w:shd w:val="clear" w:color="auto" w:fill="auto"/>
            <w:vAlign w:val="center"/>
          </w:tcPr>
          <w:p w14:paraId="41365D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0A890D5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基金支撑能力</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6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≥6月</w:t>
            </w:r>
          </w:p>
        </w:tc>
      </w:tr>
      <w:tr w14:paraId="7330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63278">
            <w:pPr>
              <w:jc w:val="center"/>
              <w:rPr>
                <w:rFonts w:hint="eastAsia" w:ascii="仿宋_GB2312" w:hAnsi="仿宋_GB2312" w:eastAsia="仿宋_GB2312" w:cs="仿宋_GB2312"/>
                <w:i w:val="0"/>
                <w:iCs w:val="0"/>
                <w:color w:val="000000"/>
                <w:sz w:val="18"/>
                <w:szCs w:val="18"/>
                <w:u w:val="none"/>
              </w:rPr>
            </w:pPr>
          </w:p>
        </w:tc>
        <w:tc>
          <w:tcPr>
            <w:tcW w:w="643" w:type="dxa"/>
            <w:vMerge w:val="restart"/>
            <w:tcBorders>
              <w:top w:val="single" w:color="000000" w:sz="4" w:space="0"/>
              <w:left w:val="nil"/>
              <w:bottom w:val="single" w:color="000000" w:sz="4" w:space="0"/>
              <w:right w:val="nil"/>
            </w:tcBorders>
            <w:shd w:val="clear" w:color="auto" w:fill="auto"/>
            <w:vAlign w:val="center"/>
          </w:tcPr>
          <w:p w14:paraId="222DB4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706" w:type="dxa"/>
            <w:vMerge w:val="restart"/>
            <w:tcBorders>
              <w:top w:val="single" w:color="000000" w:sz="4" w:space="0"/>
              <w:left w:val="single" w:color="000000" w:sz="4" w:space="0"/>
              <w:bottom w:val="single" w:color="000000" w:sz="4" w:space="0"/>
              <w:right w:val="nil"/>
            </w:tcBorders>
            <w:shd w:val="clear" w:color="auto" w:fill="auto"/>
            <w:vAlign w:val="center"/>
          </w:tcPr>
          <w:p w14:paraId="04E4FF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769603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参保群众政策知晓度</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34FADF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普遍知晓</w:t>
            </w:r>
          </w:p>
        </w:tc>
        <w:tc>
          <w:tcPr>
            <w:tcW w:w="860" w:type="dxa"/>
            <w:vMerge w:val="restart"/>
            <w:tcBorders>
              <w:top w:val="single" w:color="000000" w:sz="4" w:space="0"/>
              <w:left w:val="single" w:color="000000" w:sz="4" w:space="0"/>
              <w:bottom w:val="single" w:color="000000" w:sz="4" w:space="0"/>
              <w:right w:val="nil"/>
            </w:tcBorders>
            <w:shd w:val="clear" w:color="auto" w:fill="auto"/>
            <w:vAlign w:val="center"/>
          </w:tcPr>
          <w:p w14:paraId="29D68D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260AC0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参保对象满意度</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91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r>
      <w:tr w14:paraId="629B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20A67">
            <w:pPr>
              <w:jc w:val="center"/>
              <w:rPr>
                <w:rFonts w:hint="eastAsia" w:ascii="仿宋_GB2312" w:hAnsi="仿宋_GB2312" w:eastAsia="仿宋_GB2312" w:cs="仿宋_GB2312"/>
                <w:i w:val="0"/>
                <w:iCs w:val="0"/>
                <w:color w:val="000000"/>
                <w:sz w:val="18"/>
                <w:szCs w:val="18"/>
                <w:u w:val="none"/>
              </w:rPr>
            </w:pPr>
          </w:p>
        </w:tc>
        <w:tc>
          <w:tcPr>
            <w:tcW w:w="643" w:type="dxa"/>
            <w:vMerge w:val="continue"/>
            <w:tcBorders>
              <w:top w:val="single" w:color="000000" w:sz="4" w:space="0"/>
              <w:left w:val="nil"/>
              <w:bottom w:val="single" w:color="000000" w:sz="4" w:space="0"/>
              <w:right w:val="nil"/>
            </w:tcBorders>
            <w:shd w:val="clear" w:color="auto" w:fill="auto"/>
            <w:vAlign w:val="center"/>
          </w:tcPr>
          <w:p w14:paraId="7CD55573">
            <w:pPr>
              <w:jc w:val="center"/>
              <w:rPr>
                <w:rFonts w:hint="eastAsia" w:ascii="仿宋_GB2312" w:hAnsi="仿宋_GB2312" w:eastAsia="仿宋_GB2312" w:cs="仿宋_GB2312"/>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nil"/>
            </w:tcBorders>
            <w:shd w:val="clear" w:color="auto" w:fill="auto"/>
            <w:vAlign w:val="center"/>
          </w:tcPr>
          <w:p w14:paraId="6D077B54">
            <w:pPr>
              <w:jc w:val="center"/>
              <w:rPr>
                <w:rFonts w:hint="eastAsia" w:ascii="仿宋_GB2312" w:hAnsi="仿宋_GB2312" w:eastAsia="仿宋_GB2312" w:cs="仿宋_GB2312"/>
                <w:i w:val="0"/>
                <w:iCs w:val="0"/>
                <w:color w:val="000000"/>
                <w:sz w:val="18"/>
                <w:szCs w:val="18"/>
                <w:u w:val="none"/>
              </w:rPr>
            </w:pPr>
          </w:p>
        </w:tc>
        <w:tc>
          <w:tcPr>
            <w:tcW w:w="1864" w:type="dxa"/>
            <w:tcBorders>
              <w:top w:val="single" w:color="000000" w:sz="4" w:space="0"/>
              <w:left w:val="single" w:color="000000" w:sz="4" w:space="0"/>
              <w:bottom w:val="single" w:color="000000" w:sz="4" w:space="0"/>
              <w:right w:val="nil"/>
            </w:tcBorders>
            <w:shd w:val="clear" w:color="auto" w:fill="auto"/>
            <w:vAlign w:val="center"/>
          </w:tcPr>
          <w:p w14:paraId="684530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参保对象满意度</w:t>
            </w:r>
          </w:p>
        </w:tc>
        <w:tc>
          <w:tcPr>
            <w:tcW w:w="1478" w:type="dxa"/>
            <w:tcBorders>
              <w:top w:val="single" w:color="000000" w:sz="4" w:space="0"/>
              <w:left w:val="single" w:color="000000" w:sz="4" w:space="0"/>
              <w:bottom w:val="single" w:color="000000" w:sz="4" w:space="0"/>
              <w:right w:val="nil"/>
            </w:tcBorders>
            <w:shd w:val="clear" w:color="auto" w:fill="auto"/>
            <w:vAlign w:val="center"/>
          </w:tcPr>
          <w:p w14:paraId="03918CC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860" w:type="dxa"/>
            <w:vMerge w:val="continue"/>
            <w:tcBorders>
              <w:top w:val="single" w:color="000000" w:sz="4" w:space="0"/>
              <w:left w:val="single" w:color="000000" w:sz="4" w:space="0"/>
              <w:bottom w:val="single" w:color="000000" w:sz="4" w:space="0"/>
              <w:right w:val="nil"/>
            </w:tcBorders>
            <w:shd w:val="clear" w:color="auto" w:fill="auto"/>
            <w:vAlign w:val="center"/>
          </w:tcPr>
          <w:p w14:paraId="69D39B7F">
            <w:pPr>
              <w:jc w:val="center"/>
              <w:rPr>
                <w:rFonts w:hint="eastAsia" w:ascii="仿宋_GB2312" w:hAnsi="仿宋_GB2312" w:eastAsia="仿宋_GB2312" w:cs="仿宋_GB2312"/>
                <w:i w:val="0"/>
                <w:iCs w:val="0"/>
                <w:color w:val="000000"/>
                <w:sz w:val="18"/>
                <w:szCs w:val="18"/>
                <w:u w:val="none"/>
              </w:rPr>
            </w:pPr>
          </w:p>
        </w:tc>
        <w:tc>
          <w:tcPr>
            <w:tcW w:w="1842" w:type="dxa"/>
            <w:tcBorders>
              <w:top w:val="single" w:color="000000" w:sz="4" w:space="0"/>
              <w:left w:val="single" w:color="000000" w:sz="4" w:space="0"/>
              <w:bottom w:val="single" w:color="000000" w:sz="4" w:space="0"/>
              <w:right w:val="nil"/>
            </w:tcBorders>
            <w:shd w:val="clear" w:color="auto" w:fill="auto"/>
            <w:vAlign w:val="center"/>
          </w:tcPr>
          <w:p w14:paraId="64EFE7E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参保群众政策知晓度</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3E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普遍知晓</w:t>
            </w:r>
          </w:p>
        </w:tc>
      </w:tr>
    </w:tbl>
    <w:p w14:paraId="2407E2C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计算机网络运行费</w:t>
      </w:r>
      <w:r>
        <w:rPr>
          <w:rFonts w:hint="default" w:ascii="Times New Roman" w:hAnsi="Times New Roman" w:eastAsia="仿宋_GB2312" w:cs="Times New Roman"/>
          <w:kern w:val="0"/>
          <w:sz w:val="32"/>
          <w:szCs w:val="32"/>
        </w:rPr>
        <w:t>”项目。</w:t>
      </w:r>
    </w:p>
    <w:p w14:paraId="3CBF652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color w:val="000000" w:themeColor="text1"/>
          <w:sz w:val="32"/>
          <w:szCs w:val="32"/>
        </w:rPr>
        <w:t>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p w14:paraId="09BC1DF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000000" w:themeColor="text1"/>
          <w:sz w:val="32"/>
          <w:szCs w:val="32"/>
        </w:rPr>
        <w:t>《关于市医疗保障局所属事业机构设置的批复》中心承担民生工程之一城镇基本医疗、大额医疗救助、大病保险待遇支付工作;负责职工医疗保险和城乡居民医疗保险对定点医疗机构的医疗服务管理等工作。中办发</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2002</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17号“地方电子政务系统建设资金的运行经费由地方政府负担</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皖医保函</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2014</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6号“以医保实时信息监控系统运用为抓手,建立实时、全程、高效的医保审核体系,提高对医保基金的监管能力”。</w:t>
      </w:r>
    </w:p>
    <w:p w14:paraId="01AC9E7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64989D5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2025年1月1日至2025年12月31日。</w:t>
      </w:r>
    </w:p>
    <w:p w14:paraId="18B6F7D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color w:val="000000" w:themeColor="text1"/>
          <w:sz w:val="32"/>
          <w:szCs w:val="32"/>
        </w:rPr>
        <w:t>1500家定点机构,需要通过大量的数据采集、管理、整理以及办公自动化保障正常工作的运行。医疗保险智能监控、一楼服务大厅监控需要租用电信、移动光纤,大厅运行电费、计算机耗材等</w:t>
      </w:r>
      <w:r>
        <w:rPr>
          <w:rFonts w:hint="default" w:ascii="Times New Roman" w:hAnsi="Times New Roman" w:eastAsia="仿宋_GB2312" w:cs="Times New Roman"/>
          <w:color w:val="000000" w:themeColor="text1"/>
          <w:sz w:val="32"/>
          <w:szCs w:val="32"/>
          <w:lang w:eastAsia="zh-CN"/>
        </w:rPr>
        <w:t>。</w:t>
      </w:r>
    </w:p>
    <w:p w14:paraId="4C2EB6C1">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5.2万元。</w:t>
      </w:r>
    </w:p>
    <w:p w14:paraId="1D5562B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680"/>
        <w:gridCol w:w="640"/>
        <w:gridCol w:w="1610"/>
        <w:gridCol w:w="1467"/>
        <w:gridCol w:w="640"/>
        <w:gridCol w:w="1466"/>
        <w:gridCol w:w="752"/>
        <w:gridCol w:w="1328"/>
      </w:tblGrid>
      <w:tr w14:paraId="180E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9100" w:type="dxa"/>
            <w:gridSpan w:val="9"/>
            <w:tcBorders>
              <w:top w:val="nil"/>
              <w:left w:val="nil"/>
              <w:bottom w:val="nil"/>
              <w:right w:val="nil"/>
            </w:tcBorders>
            <w:shd w:val="clear" w:color="auto" w:fill="auto"/>
            <w:vAlign w:val="center"/>
          </w:tcPr>
          <w:p w14:paraId="03C8864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项目支出绩效目标申报表</w:t>
            </w:r>
          </w:p>
        </w:tc>
      </w:tr>
      <w:tr w14:paraId="5808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100" w:type="dxa"/>
            <w:gridSpan w:val="9"/>
            <w:tcBorders>
              <w:top w:val="nil"/>
              <w:left w:val="nil"/>
              <w:bottom w:val="nil"/>
              <w:right w:val="nil"/>
            </w:tcBorders>
            <w:shd w:val="clear" w:color="auto" w:fill="auto"/>
            <w:vAlign w:val="center"/>
          </w:tcPr>
          <w:p w14:paraId="4BED60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2025  年度）</w:t>
            </w:r>
          </w:p>
        </w:tc>
      </w:tr>
      <w:tr w14:paraId="5BA0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837" w:type="dxa"/>
            <w:gridSpan w:val="3"/>
            <w:tcBorders>
              <w:top w:val="single" w:color="000000" w:sz="4" w:space="0"/>
              <w:left w:val="single" w:color="000000" w:sz="4" w:space="0"/>
              <w:bottom w:val="single" w:color="000000" w:sz="4" w:space="0"/>
              <w:right w:val="nil"/>
            </w:tcBorders>
            <w:shd w:val="clear" w:color="auto" w:fill="auto"/>
            <w:vAlign w:val="center"/>
          </w:tcPr>
          <w:p w14:paraId="55309DC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908E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计算机网络运行费</w:t>
            </w:r>
          </w:p>
        </w:tc>
      </w:tr>
      <w:tr w14:paraId="4B36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1837" w:type="dxa"/>
            <w:gridSpan w:val="3"/>
            <w:tcBorders>
              <w:top w:val="single" w:color="000000" w:sz="4" w:space="0"/>
              <w:left w:val="single" w:color="000000" w:sz="4" w:space="0"/>
              <w:bottom w:val="single" w:color="000000" w:sz="4" w:space="0"/>
              <w:right w:val="nil"/>
            </w:tcBorders>
            <w:shd w:val="clear" w:color="auto" w:fill="auto"/>
            <w:vAlign w:val="center"/>
          </w:tcPr>
          <w:p w14:paraId="13D7316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主管部门及代码</w:t>
            </w:r>
          </w:p>
        </w:tc>
        <w:tc>
          <w:tcPr>
            <w:tcW w:w="3077" w:type="dxa"/>
            <w:gridSpan w:val="2"/>
            <w:tcBorders>
              <w:top w:val="single" w:color="000000" w:sz="4" w:space="0"/>
              <w:left w:val="single" w:color="000000" w:sz="4" w:space="0"/>
              <w:bottom w:val="single" w:color="000000" w:sz="4" w:space="0"/>
              <w:right w:val="nil"/>
            </w:tcBorders>
            <w:shd w:val="clear" w:color="auto" w:fill="auto"/>
            <w:vAlign w:val="center"/>
          </w:tcPr>
          <w:p w14:paraId="1A51AA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[107]淮北市医疗保障局</w:t>
            </w:r>
          </w:p>
        </w:tc>
        <w:tc>
          <w:tcPr>
            <w:tcW w:w="2858" w:type="dxa"/>
            <w:gridSpan w:val="3"/>
            <w:tcBorders>
              <w:top w:val="single" w:color="000000" w:sz="4" w:space="0"/>
              <w:left w:val="single" w:color="000000" w:sz="4" w:space="0"/>
              <w:bottom w:val="single" w:color="000000" w:sz="4" w:space="0"/>
              <w:right w:val="nil"/>
            </w:tcBorders>
            <w:shd w:val="clear" w:color="auto" w:fill="auto"/>
            <w:vAlign w:val="center"/>
          </w:tcPr>
          <w:p w14:paraId="6C4E32D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00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淮北市医疗生育保险管理服务中心</w:t>
            </w:r>
          </w:p>
        </w:tc>
      </w:tr>
      <w:tr w14:paraId="633F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37" w:type="dxa"/>
            <w:gridSpan w:val="3"/>
            <w:tcBorders>
              <w:top w:val="single" w:color="000000" w:sz="4" w:space="0"/>
              <w:left w:val="single" w:color="000000" w:sz="4" w:space="0"/>
              <w:bottom w:val="single" w:color="000000" w:sz="4" w:space="0"/>
              <w:right w:val="nil"/>
            </w:tcBorders>
            <w:shd w:val="clear" w:color="auto" w:fill="auto"/>
            <w:vAlign w:val="center"/>
          </w:tcPr>
          <w:p w14:paraId="56C115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项目属性</w:t>
            </w:r>
          </w:p>
        </w:tc>
        <w:tc>
          <w:tcPr>
            <w:tcW w:w="3077" w:type="dxa"/>
            <w:gridSpan w:val="2"/>
            <w:tcBorders>
              <w:top w:val="single" w:color="000000" w:sz="4" w:space="0"/>
              <w:left w:val="single" w:color="000000" w:sz="4" w:space="0"/>
              <w:bottom w:val="single" w:color="000000" w:sz="4" w:space="0"/>
              <w:right w:val="nil"/>
            </w:tcBorders>
            <w:shd w:val="clear" w:color="auto" w:fill="auto"/>
            <w:vAlign w:val="center"/>
          </w:tcPr>
          <w:p w14:paraId="377763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常年项目</w:t>
            </w:r>
          </w:p>
        </w:tc>
        <w:tc>
          <w:tcPr>
            <w:tcW w:w="2858" w:type="dxa"/>
            <w:gridSpan w:val="3"/>
            <w:tcBorders>
              <w:top w:val="single" w:color="000000" w:sz="4" w:space="0"/>
              <w:left w:val="single" w:color="000000" w:sz="4" w:space="0"/>
              <w:bottom w:val="single" w:color="000000" w:sz="4" w:space="0"/>
              <w:right w:val="nil"/>
            </w:tcBorders>
            <w:shd w:val="clear" w:color="auto" w:fill="auto"/>
            <w:vAlign w:val="center"/>
          </w:tcPr>
          <w:p w14:paraId="698784B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项目期</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4A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1年 </w:t>
            </w:r>
          </w:p>
        </w:tc>
      </w:tr>
      <w:tr w14:paraId="3DD2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837"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1BB0E5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项目资金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（万元）</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74A5F16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中期资金总额：</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5C7E1EE8">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5.20 </w:t>
            </w:r>
          </w:p>
        </w:tc>
        <w:tc>
          <w:tcPr>
            <w:tcW w:w="2858" w:type="dxa"/>
            <w:gridSpan w:val="3"/>
            <w:tcBorders>
              <w:top w:val="single" w:color="000000" w:sz="4" w:space="0"/>
              <w:left w:val="single" w:color="000000" w:sz="4" w:space="0"/>
              <w:bottom w:val="single" w:color="000000" w:sz="4" w:space="0"/>
              <w:right w:val="nil"/>
            </w:tcBorders>
            <w:shd w:val="clear" w:color="auto" w:fill="auto"/>
            <w:vAlign w:val="center"/>
          </w:tcPr>
          <w:p w14:paraId="7A02FF53">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年度资金总额：</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662B">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5.20 </w:t>
            </w:r>
          </w:p>
        </w:tc>
      </w:tr>
      <w:tr w14:paraId="4C7C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83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FE46CE8">
            <w:pPr>
              <w:jc w:val="center"/>
              <w:rPr>
                <w:rFonts w:hint="eastAsia" w:ascii="仿宋_GB2312" w:hAnsi="仿宋_GB2312" w:eastAsia="仿宋_GB2312" w:cs="仿宋_GB2312"/>
                <w:i w:val="0"/>
                <w:iCs w:val="0"/>
                <w:color w:val="000000"/>
                <w:sz w:val="18"/>
                <w:szCs w:val="18"/>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493EA11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17FA4295">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5.20 </w:t>
            </w:r>
          </w:p>
        </w:tc>
        <w:tc>
          <w:tcPr>
            <w:tcW w:w="2858" w:type="dxa"/>
            <w:gridSpan w:val="3"/>
            <w:tcBorders>
              <w:top w:val="single" w:color="000000" w:sz="4" w:space="0"/>
              <w:left w:val="single" w:color="000000" w:sz="4" w:space="0"/>
              <w:bottom w:val="single" w:color="000000" w:sz="4" w:space="0"/>
              <w:right w:val="nil"/>
            </w:tcBorders>
            <w:shd w:val="clear" w:color="auto" w:fill="auto"/>
            <w:vAlign w:val="center"/>
          </w:tcPr>
          <w:p w14:paraId="534AF9A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71DA">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5.20 </w:t>
            </w:r>
          </w:p>
        </w:tc>
      </w:tr>
      <w:tr w14:paraId="2F86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83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AD6DAD8">
            <w:pPr>
              <w:jc w:val="center"/>
              <w:rPr>
                <w:rFonts w:hint="eastAsia" w:ascii="仿宋_GB2312" w:hAnsi="仿宋_GB2312" w:eastAsia="仿宋_GB2312" w:cs="仿宋_GB2312"/>
                <w:i w:val="0"/>
                <w:iCs w:val="0"/>
                <w:color w:val="000000"/>
                <w:sz w:val="18"/>
                <w:szCs w:val="18"/>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607BD89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20F168CA">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c>
          <w:tcPr>
            <w:tcW w:w="2858" w:type="dxa"/>
            <w:gridSpan w:val="3"/>
            <w:tcBorders>
              <w:top w:val="single" w:color="000000" w:sz="4" w:space="0"/>
              <w:left w:val="single" w:color="000000" w:sz="4" w:space="0"/>
              <w:bottom w:val="single" w:color="000000" w:sz="4" w:space="0"/>
              <w:right w:val="nil"/>
            </w:tcBorders>
            <w:shd w:val="clear" w:color="auto" w:fill="auto"/>
            <w:vAlign w:val="center"/>
          </w:tcPr>
          <w:p w14:paraId="62A7674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2D5B">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r>
      <w:tr w14:paraId="664D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17" w:type="dxa"/>
            <w:vMerge w:val="restart"/>
            <w:tcBorders>
              <w:top w:val="single" w:color="000000" w:sz="4" w:space="0"/>
              <w:left w:val="single" w:color="000000" w:sz="4" w:space="0"/>
              <w:bottom w:val="single" w:color="000000" w:sz="4" w:space="0"/>
              <w:right w:val="nil"/>
            </w:tcBorders>
            <w:shd w:val="clear" w:color="auto" w:fill="auto"/>
            <w:vAlign w:val="center"/>
          </w:tcPr>
          <w:p w14:paraId="2D01D6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体</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4397" w:type="dxa"/>
            <w:gridSpan w:val="4"/>
            <w:tcBorders>
              <w:top w:val="single" w:color="000000" w:sz="4" w:space="0"/>
              <w:left w:val="single" w:color="000000" w:sz="4" w:space="0"/>
              <w:bottom w:val="single" w:color="000000" w:sz="4" w:space="0"/>
              <w:right w:val="nil"/>
            </w:tcBorders>
            <w:shd w:val="clear" w:color="auto" w:fill="auto"/>
            <w:vAlign w:val="center"/>
          </w:tcPr>
          <w:p w14:paraId="576FF5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中期目标（2025年—2025年）</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3A7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w:t>
            </w:r>
          </w:p>
        </w:tc>
      </w:tr>
      <w:tr w14:paraId="299C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7" w:hRule="atLeast"/>
        </w:trPr>
        <w:tc>
          <w:tcPr>
            <w:tcW w:w="517" w:type="dxa"/>
            <w:vMerge w:val="continue"/>
            <w:tcBorders>
              <w:top w:val="single" w:color="000000" w:sz="4" w:space="0"/>
              <w:left w:val="single" w:color="000000" w:sz="4" w:space="0"/>
              <w:bottom w:val="single" w:color="000000" w:sz="4" w:space="0"/>
              <w:right w:val="nil"/>
            </w:tcBorders>
            <w:shd w:val="clear" w:color="auto" w:fill="auto"/>
            <w:vAlign w:val="center"/>
          </w:tcPr>
          <w:p w14:paraId="14FC8FAD">
            <w:pPr>
              <w:jc w:val="center"/>
              <w:rPr>
                <w:rFonts w:hint="eastAsia" w:ascii="仿宋_GB2312" w:hAnsi="仿宋_GB2312" w:eastAsia="仿宋_GB2312" w:cs="仿宋_GB2312"/>
                <w:i w:val="0"/>
                <w:iCs w:val="0"/>
                <w:color w:val="000000"/>
                <w:sz w:val="18"/>
                <w:szCs w:val="18"/>
                <w:u w:val="none"/>
              </w:rPr>
            </w:pPr>
          </w:p>
        </w:tc>
        <w:tc>
          <w:tcPr>
            <w:tcW w:w="4397" w:type="dxa"/>
            <w:gridSpan w:val="4"/>
            <w:tcBorders>
              <w:top w:val="single" w:color="000000" w:sz="4" w:space="0"/>
              <w:left w:val="single" w:color="000000" w:sz="4" w:space="0"/>
              <w:bottom w:val="single" w:color="000000" w:sz="4" w:space="0"/>
              <w:right w:val="nil"/>
            </w:tcBorders>
            <w:shd w:val="clear" w:color="auto" w:fill="auto"/>
            <w:vAlign w:val="center"/>
          </w:tcPr>
          <w:p w14:paraId="26B77634">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EB65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tc>
      </w:tr>
      <w:tr w14:paraId="3975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DB3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指</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680" w:type="dxa"/>
            <w:tcBorders>
              <w:top w:val="single" w:color="000000" w:sz="4" w:space="0"/>
              <w:left w:val="nil"/>
              <w:bottom w:val="single" w:color="000000" w:sz="4" w:space="0"/>
              <w:right w:val="nil"/>
            </w:tcBorders>
            <w:shd w:val="clear" w:color="auto" w:fill="auto"/>
            <w:vAlign w:val="center"/>
          </w:tcPr>
          <w:p w14:paraId="021043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238791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6FBF7D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00FFCD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7E16E98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862BB5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DA4C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r>
      <w:tr w14:paraId="6F7B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D1FA">
            <w:pPr>
              <w:jc w:val="center"/>
              <w:rPr>
                <w:rFonts w:hint="eastAsia" w:ascii="仿宋_GB2312" w:hAnsi="仿宋_GB2312" w:eastAsia="仿宋_GB2312" w:cs="仿宋_GB2312"/>
                <w:i w:val="0"/>
                <w:iCs w:val="0"/>
                <w:color w:val="000000"/>
                <w:sz w:val="18"/>
                <w:szCs w:val="18"/>
                <w:u w:val="none"/>
              </w:rPr>
            </w:pPr>
          </w:p>
        </w:tc>
        <w:tc>
          <w:tcPr>
            <w:tcW w:w="680" w:type="dxa"/>
            <w:vMerge w:val="restart"/>
            <w:tcBorders>
              <w:top w:val="single" w:color="000000" w:sz="4" w:space="0"/>
              <w:left w:val="nil"/>
              <w:bottom w:val="single" w:color="000000" w:sz="4" w:space="0"/>
              <w:right w:val="nil"/>
            </w:tcBorders>
            <w:shd w:val="clear" w:color="auto" w:fill="auto"/>
            <w:vAlign w:val="center"/>
          </w:tcPr>
          <w:p w14:paraId="645FB6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640" w:type="dxa"/>
            <w:vMerge w:val="restart"/>
            <w:tcBorders>
              <w:top w:val="single" w:color="000000" w:sz="4" w:space="0"/>
              <w:left w:val="single" w:color="000000" w:sz="4" w:space="0"/>
              <w:bottom w:val="single" w:color="000000" w:sz="4" w:space="0"/>
              <w:right w:val="nil"/>
            </w:tcBorders>
            <w:shd w:val="clear" w:color="auto" w:fill="auto"/>
            <w:vAlign w:val="center"/>
          </w:tcPr>
          <w:p w14:paraId="61CDB9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6898C8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覆盖医疗机构</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5C7DC40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≥1276家</w:t>
            </w:r>
          </w:p>
        </w:tc>
        <w:tc>
          <w:tcPr>
            <w:tcW w:w="640" w:type="dxa"/>
            <w:vMerge w:val="restart"/>
            <w:tcBorders>
              <w:top w:val="single" w:color="000000" w:sz="4" w:space="0"/>
              <w:left w:val="single" w:color="000000" w:sz="4" w:space="0"/>
              <w:bottom w:val="single" w:color="000000" w:sz="4" w:space="0"/>
              <w:right w:val="nil"/>
            </w:tcBorders>
            <w:shd w:val="clear" w:color="auto" w:fill="auto"/>
            <w:vAlign w:val="center"/>
          </w:tcPr>
          <w:p w14:paraId="4BEFA5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2BBAF7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工作数量</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264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确保信息系统运行平稳通畅</w:t>
            </w:r>
          </w:p>
        </w:tc>
      </w:tr>
      <w:tr w14:paraId="19F4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CBE4">
            <w:pPr>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nil"/>
              <w:bottom w:val="single" w:color="000000" w:sz="4" w:space="0"/>
              <w:right w:val="nil"/>
            </w:tcBorders>
            <w:shd w:val="clear" w:color="auto" w:fill="auto"/>
            <w:vAlign w:val="center"/>
          </w:tcPr>
          <w:p w14:paraId="2B456F48">
            <w:pPr>
              <w:jc w:val="center"/>
              <w:rPr>
                <w:rFonts w:hint="eastAsia" w:ascii="仿宋_GB2312" w:hAnsi="仿宋_GB2312" w:eastAsia="仿宋_GB2312" w:cs="仿宋_GB2312"/>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nil"/>
            </w:tcBorders>
            <w:shd w:val="clear" w:color="auto" w:fill="auto"/>
            <w:vAlign w:val="center"/>
          </w:tcPr>
          <w:p w14:paraId="2890875B">
            <w:pPr>
              <w:jc w:val="center"/>
              <w:rPr>
                <w:rFonts w:hint="eastAsia" w:ascii="仿宋_GB2312" w:hAnsi="仿宋_GB2312" w:eastAsia="仿宋_GB2312" w:cs="仿宋_GB2312"/>
                <w:i w:val="0"/>
                <w:iCs w:val="0"/>
                <w:color w:val="000000"/>
                <w:sz w:val="18"/>
                <w:szCs w:val="18"/>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5730DA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覆盖人数</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2A16C94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≥101.58万人</w:t>
            </w:r>
          </w:p>
        </w:tc>
        <w:tc>
          <w:tcPr>
            <w:tcW w:w="640" w:type="dxa"/>
            <w:vMerge w:val="continue"/>
            <w:tcBorders>
              <w:top w:val="single" w:color="000000" w:sz="4" w:space="0"/>
              <w:left w:val="single" w:color="000000" w:sz="4" w:space="0"/>
              <w:bottom w:val="single" w:color="000000" w:sz="4" w:space="0"/>
              <w:right w:val="nil"/>
            </w:tcBorders>
            <w:shd w:val="clear" w:color="auto" w:fill="auto"/>
            <w:vAlign w:val="center"/>
          </w:tcPr>
          <w:p w14:paraId="03521D8B">
            <w:pPr>
              <w:jc w:val="center"/>
              <w:rPr>
                <w:rFonts w:hint="eastAsia" w:ascii="仿宋_GB2312" w:hAnsi="仿宋_GB2312" w:eastAsia="仿宋_GB2312" w:cs="仿宋_GB2312"/>
                <w:i w:val="0"/>
                <w:iCs w:val="0"/>
                <w:color w:val="000000"/>
                <w:sz w:val="18"/>
                <w:szCs w:val="18"/>
                <w:u w:val="none"/>
              </w:rPr>
            </w:pP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443620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工作范围</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F9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覆盖所有参保人员和协议服务单位</w:t>
            </w:r>
          </w:p>
        </w:tc>
      </w:tr>
      <w:tr w14:paraId="4302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91361">
            <w:pPr>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nil"/>
              <w:bottom w:val="single" w:color="000000" w:sz="4" w:space="0"/>
              <w:right w:val="nil"/>
            </w:tcBorders>
            <w:shd w:val="clear" w:color="auto" w:fill="auto"/>
            <w:vAlign w:val="center"/>
          </w:tcPr>
          <w:p w14:paraId="2DDABB12">
            <w:pPr>
              <w:jc w:val="center"/>
              <w:rPr>
                <w:rFonts w:hint="eastAsia" w:ascii="仿宋_GB2312" w:hAnsi="仿宋_GB2312" w:eastAsia="仿宋_GB2312" w:cs="仿宋_GB2312"/>
                <w:i w:val="0"/>
                <w:iCs w:val="0"/>
                <w:color w:val="000000"/>
                <w:sz w:val="18"/>
                <w:szCs w:val="18"/>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14:paraId="79A01E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13932AD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工作质量情况</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2ADBBA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服务受理零推诿、服务方式零距离、服务质量零差错、服务结果零投诉。</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153A3AB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52ED90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工作质量情况</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EE5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服务受理零推诿、服务方式零距离、服务质量零差错、服务结果零投诉。</w:t>
            </w:r>
          </w:p>
        </w:tc>
      </w:tr>
      <w:tr w14:paraId="04C7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4BE0C">
            <w:pPr>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nil"/>
              <w:bottom w:val="single" w:color="000000" w:sz="4" w:space="0"/>
              <w:right w:val="nil"/>
            </w:tcBorders>
            <w:shd w:val="clear" w:color="auto" w:fill="auto"/>
            <w:vAlign w:val="center"/>
          </w:tcPr>
          <w:p w14:paraId="201AFA6C">
            <w:pPr>
              <w:jc w:val="center"/>
              <w:rPr>
                <w:rFonts w:hint="eastAsia" w:ascii="仿宋_GB2312" w:hAnsi="仿宋_GB2312" w:eastAsia="仿宋_GB2312" w:cs="仿宋_GB2312"/>
                <w:i w:val="0"/>
                <w:iCs w:val="0"/>
                <w:color w:val="000000"/>
                <w:sz w:val="18"/>
                <w:szCs w:val="18"/>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14:paraId="7DF772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5D83063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网络运行通畅情况</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4ADCAD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时时</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275E7A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6459C68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网络运行通畅情况</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6C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时时</w:t>
            </w:r>
          </w:p>
        </w:tc>
      </w:tr>
      <w:tr w14:paraId="3CDF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B5D48">
            <w:pPr>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nil"/>
              <w:bottom w:val="single" w:color="000000" w:sz="4" w:space="0"/>
              <w:right w:val="nil"/>
            </w:tcBorders>
            <w:shd w:val="clear" w:color="auto" w:fill="auto"/>
            <w:vAlign w:val="center"/>
          </w:tcPr>
          <w:p w14:paraId="60F271E7">
            <w:pPr>
              <w:jc w:val="center"/>
              <w:rPr>
                <w:rFonts w:hint="eastAsia" w:ascii="仿宋_GB2312" w:hAnsi="仿宋_GB2312" w:eastAsia="仿宋_GB2312" w:cs="仿宋_GB2312"/>
                <w:i w:val="0"/>
                <w:iCs w:val="0"/>
                <w:color w:val="000000"/>
                <w:sz w:val="18"/>
                <w:szCs w:val="18"/>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14:paraId="26AAAE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59B9C1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636456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167BAB0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7CBB5D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系统维护运转费</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8D89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≤100000元</w:t>
            </w:r>
          </w:p>
        </w:tc>
      </w:tr>
      <w:tr w14:paraId="008B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FB53">
            <w:pPr>
              <w:jc w:val="center"/>
              <w:rPr>
                <w:rFonts w:hint="eastAsia" w:ascii="仿宋_GB2312" w:hAnsi="仿宋_GB2312" w:eastAsia="仿宋_GB2312" w:cs="仿宋_GB2312"/>
                <w:i w:val="0"/>
                <w:iCs w:val="0"/>
                <w:color w:val="000000"/>
                <w:sz w:val="18"/>
                <w:szCs w:val="18"/>
                <w:u w:val="none"/>
              </w:rPr>
            </w:pPr>
          </w:p>
        </w:tc>
        <w:tc>
          <w:tcPr>
            <w:tcW w:w="680" w:type="dxa"/>
            <w:vMerge w:val="restart"/>
            <w:tcBorders>
              <w:top w:val="single" w:color="000000" w:sz="4" w:space="0"/>
              <w:left w:val="nil"/>
              <w:bottom w:val="single" w:color="000000" w:sz="4" w:space="0"/>
              <w:right w:val="nil"/>
            </w:tcBorders>
            <w:shd w:val="clear" w:color="auto" w:fill="auto"/>
            <w:vAlign w:val="center"/>
          </w:tcPr>
          <w:p w14:paraId="7FD53D4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2564CA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7397F1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该指标不适用</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4A7145B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该指标不适用</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59BA542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390D77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该项不适合</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EFA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r>
      <w:tr w14:paraId="4A52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9359">
            <w:pPr>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nil"/>
              <w:bottom w:val="single" w:color="000000" w:sz="4" w:space="0"/>
              <w:right w:val="nil"/>
            </w:tcBorders>
            <w:shd w:val="clear" w:color="auto" w:fill="auto"/>
            <w:vAlign w:val="center"/>
          </w:tcPr>
          <w:p w14:paraId="155F0C24">
            <w:pPr>
              <w:jc w:val="center"/>
              <w:rPr>
                <w:rFonts w:hint="eastAsia" w:ascii="仿宋_GB2312" w:hAnsi="仿宋_GB2312" w:eastAsia="仿宋_GB2312" w:cs="仿宋_GB2312"/>
                <w:i w:val="0"/>
                <w:iCs w:val="0"/>
                <w:color w:val="000000"/>
                <w:sz w:val="18"/>
                <w:szCs w:val="18"/>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14:paraId="47D27E5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72956E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就医行为</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41CD27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就医行为规范，就医环境良好。</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23ADF61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4DA86C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就医行为</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169F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就医行为规范，就医环境良好。</w:t>
            </w:r>
          </w:p>
        </w:tc>
      </w:tr>
      <w:tr w14:paraId="7815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9"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E9C59">
            <w:pPr>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nil"/>
              <w:bottom w:val="single" w:color="000000" w:sz="4" w:space="0"/>
              <w:right w:val="nil"/>
            </w:tcBorders>
            <w:shd w:val="clear" w:color="auto" w:fill="auto"/>
            <w:vAlign w:val="center"/>
          </w:tcPr>
          <w:p w14:paraId="02E26A63">
            <w:pPr>
              <w:jc w:val="center"/>
              <w:rPr>
                <w:rFonts w:hint="eastAsia" w:ascii="仿宋_GB2312" w:hAnsi="仿宋_GB2312" w:eastAsia="仿宋_GB2312" w:cs="仿宋_GB2312"/>
                <w:i w:val="0"/>
                <w:iCs w:val="0"/>
                <w:color w:val="000000"/>
                <w:sz w:val="18"/>
                <w:szCs w:val="18"/>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14:paraId="012DFA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7FFAAC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该项目无此项指标</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5B2AE7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1BB9E16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3547A0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90D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r>
      <w:tr w14:paraId="0104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B202">
            <w:pPr>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nil"/>
              <w:bottom w:val="single" w:color="000000" w:sz="4" w:space="0"/>
              <w:right w:val="nil"/>
            </w:tcBorders>
            <w:shd w:val="clear" w:color="auto" w:fill="auto"/>
            <w:vAlign w:val="center"/>
          </w:tcPr>
          <w:p w14:paraId="335D7B24">
            <w:pPr>
              <w:jc w:val="center"/>
              <w:rPr>
                <w:rFonts w:hint="eastAsia" w:ascii="仿宋_GB2312" w:hAnsi="仿宋_GB2312" w:eastAsia="仿宋_GB2312" w:cs="仿宋_GB2312"/>
                <w:i w:val="0"/>
                <w:iCs w:val="0"/>
                <w:color w:val="000000"/>
                <w:sz w:val="18"/>
                <w:szCs w:val="18"/>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14:paraId="377D0E4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6BDE169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信息系统持续运行</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3170930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保证信息系统持续运行</w:t>
            </w:r>
          </w:p>
        </w:tc>
        <w:tc>
          <w:tcPr>
            <w:tcW w:w="640" w:type="dxa"/>
            <w:tcBorders>
              <w:top w:val="single" w:color="000000" w:sz="4" w:space="0"/>
              <w:left w:val="single" w:color="000000" w:sz="4" w:space="0"/>
              <w:bottom w:val="single" w:color="000000" w:sz="4" w:space="0"/>
              <w:right w:val="nil"/>
            </w:tcBorders>
            <w:shd w:val="clear" w:color="auto" w:fill="auto"/>
            <w:vAlign w:val="center"/>
          </w:tcPr>
          <w:p w14:paraId="52F4F9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60941D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信息系统持续运行</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C3D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保证信息系统持续运行</w:t>
            </w:r>
          </w:p>
        </w:tc>
      </w:tr>
      <w:tr w14:paraId="0C3F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13FE0">
            <w:pPr>
              <w:jc w:val="center"/>
              <w:rPr>
                <w:rFonts w:hint="eastAsia" w:ascii="仿宋_GB2312" w:hAnsi="仿宋_GB2312" w:eastAsia="仿宋_GB2312" w:cs="仿宋_GB2312"/>
                <w:i w:val="0"/>
                <w:iCs w:val="0"/>
                <w:color w:val="000000"/>
                <w:sz w:val="18"/>
                <w:szCs w:val="18"/>
                <w:u w:val="none"/>
              </w:rPr>
            </w:pPr>
          </w:p>
        </w:tc>
        <w:tc>
          <w:tcPr>
            <w:tcW w:w="680" w:type="dxa"/>
            <w:vMerge w:val="restart"/>
            <w:tcBorders>
              <w:top w:val="single" w:color="000000" w:sz="4" w:space="0"/>
              <w:left w:val="nil"/>
              <w:bottom w:val="single" w:color="000000" w:sz="4" w:space="0"/>
              <w:right w:val="nil"/>
            </w:tcBorders>
            <w:shd w:val="clear" w:color="auto" w:fill="auto"/>
            <w:vAlign w:val="center"/>
          </w:tcPr>
          <w:p w14:paraId="6C8B7E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640" w:type="dxa"/>
            <w:vMerge w:val="restart"/>
            <w:tcBorders>
              <w:top w:val="single" w:color="000000" w:sz="4" w:space="0"/>
              <w:left w:val="single" w:color="000000" w:sz="4" w:space="0"/>
              <w:bottom w:val="single" w:color="000000" w:sz="4" w:space="0"/>
              <w:right w:val="nil"/>
            </w:tcBorders>
            <w:shd w:val="clear" w:color="auto" w:fill="auto"/>
            <w:vAlign w:val="center"/>
          </w:tcPr>
          <w:p w14:paraId="454BA4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11AE68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参保人员满意度</w:t>
            </w: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5EB8B6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640" w:type="dxa"/>
            <w:vMerge w:val="restart"/>
            <w:tcBorders>
              <w:top w:val="single" w:color="000000" w:sz="4" w:space="0"/>
              <w:left w:val="single" w:color="000000" w:sz="4" w:space="0"/>
              <w:bottom w:val="single" w:color="000000" w:sz="4" w:space="0"/>
              <w:right w:val="nil"/>
            </w:tcBorders>
            <w:shd w:val="clear" w:color="auto" w:fill="auto"/>
            <w:vAlign w:val="center"/>
          </w:tcPr>
          <w:p w14:paraId="5FDB69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42D57C1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协议单位满意度</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1930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r>
      <w:tr w14:paraId="0321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94DB">
            <w:pPr>
              <w:jc w:val="center"/>
              <w:rPr>
                <w:rFonts w:hint="eastAsia" w:ascii="仿宋_GB2312" w:hAnsi="仿宋_GB2312" w:eastAsia="仿宋_GB2312" w:cs="仿宋_GB2312"/>
                <w:i w:val="0"/>
                <w:iCs w:val="0"/>
                <w:color w:val="000000"/>
                <w:sz w:val="18"/>
                <w:szCs w:val="18"/>
                <w:u w:val="none"/>
              </w:rPr>
            </w:pPr>
          </w:p>
        </w:tc>
        <w:tc>
          <w:tcPr>
            <w:tcW w:w="680" w:type="dxa"/>
            <w:vMerge w:val="continue"/>
            <w:tcBorders>
              <w:top w:val="single" w:color="000000" w:sz="4" w:space="0"/>
              <w:left w:val="nil"/>
              <w:bottom w:val="single" w:color="000000" w:sz="4" w:space="0"/>
              <w:right w:val="nil"/>
            </w:tcBorders>
            <w:shd w:val="clear" w:color="auto" w:fill="auto"/>
            <w:vAlign w:val="center"/>
          </w:tcPr>
          <w:p w14:paraId="540F637C">
            <w:pPr>
              <w:jc w:val="center"/>
              <w:rPr>
                <w:rFonts w:hint="eastAsia" w:ascii="仿宋_GB2312" w:hAnsi="仿宋_GB2312" w:eastAsia="仿宋_GB2312" w:cs="仿宋_GB2312"/>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nil"/>
            </w:tcBorders>
            <w:shd w:val="clear" w:color="auto" w:fill="auto"/>
            <w:vAlign w:val="center"/>
          </w:tcPr>
          <w:p w14:paraId="3AE871C4">
            <w:pPr>
              <w:jc w:val="center"/>
              <w:rPr>
                <w:rFonts w:hint="eastAsia" w:ascii="仿宋_GB2312" w:hAnsi="仿宋_GB2312" w:eastAsia="仿宋_GB2312" w:cs="仿宋_GB2312"/>
                <w:i w:val="0"/>
                <w:iCs w:val="0"/>
                <w:color w:val="000000"/>
                <w:sz w:val="18"/>
                <w:szCs w:val="18"/>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14:paraId="448475A4">
            <w:pPr>
              <w:jc w:val="center"/>
              <w:rPr>
                <w:rFonts w:hint="eastAsia" w:ascii="仿宋_GB2312" w:hAnsi="仿宋_GB2312" w:eastAsia="仿宋_GB2312" w:cs="仿宋_GB2312"/>
                <w:i w:val="0"/>
                <w:iCs w:val="0"/>
                <w:color w:val="000000"/>
                <w:sz w:val="18"/>
                <w:szCs w:val="18"/>
                <w:u w:val="none"/>
              </w:rPr>
            </w:pPr>
          </w:p>
        </w:tc>
        <w:tc>
          <w:tcPr>
            <w:tcW w:w="1467" w:type="dxa"/>
            <w:tcBorders>
              <w:top w:val="single" w:color="000000" w:sz="4" w:space="0"/>
              <w:left w:val="single" w:color="000000" w:sz="4" w:space="0"/>
              <w:bottom w:val="single" w:color="000000" w:sz="4" w:space="0"/>
              <w:right w:val="nil"/>
            </w:tcBorders>
            <w:shd w:val="clear" w:color="auto" w:fill="auto"/>
            <w:vAlign w:val="center"/>
          </w:tcPr>
          <w:p w14:paraId="3B7DF85D">
            <w:pPr>
              <w:jc w:val="center"/>
              <w:rPr>
                <w:rFonts w:hint="eastAsia" w:ascii="仿宋_GB2312" w:hAnsi="仿宋_GB2312" w:eastAsia="仿宋_GB2312" w:cs="仿宋_GB2312"/>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nil"/>
            </w:tcBorders>
            <w:shd w:val="clear" w:color="auto" w:fill="auto"/>
            <w:vAlign w:val="center"/>
          </w:tcPr>
          <w:p w14:paraId="5DF7D749">
            <w:pPr>
              <w:jc w:val="center"/>
              <w:rPr>
                <w:rFonts w:hint="eastAsia" w:ascii="仿宋_GB2312" w:hAnsi="仿宋_GB2312" w:eastAsia="仿宋_GB2312" w:cs="仿宋_GB2312"/>
                <w:i w:val="0"/>
                <w:iCs w:val="0"/>
                <w:color w:val="000000"/>
                <w:sz w:val="18"/>
                <w:szCs w:val="18"/>
                <w:u w:val="none"/>
              </w:rPr>
            </w:pP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532F644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参保人员满意度</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704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r>
    </w:tbl>
    <w:p w14:paraId="62AD823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医疗审核和鉴定等专项经费</w:t>
      </w:r>
      <w:r>
        <w:rPr>
          <w:rFonts w:hint="default" w:ascii="Times New Roman" w:hAnsi="Times New Roman" w:eastAsia="仿宋_GB2312" w:cs="Times New Roman"/>
          <w:kern w:val="0"/>
          <w:sz w:val="32"/>
          <w:szCs w:val="32"/>
        </w:rPr>
        <w:t>”项目。</w:t>
      </w:r>
    </w:p>
    <w:p w14:paraId="4CA7D04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color w:val="000000" w:themeColor="text1"/>
          <w:sz w:val="32"/>
          <w:szCs w:val="32"/>
        </w:rPr>
        <w:t>贯彻落实医疗生育保险政策，体现社会保障</w:t>
      </w:r>
      <w:r>
        <w:rPr>
          <w:rFonts w:hint="default" w:ascii="Times New Roman" w:hAnsi="Times New Roman" w:eastAsia="仿宋_GB2312" w:cs="Times New Roman"/>
          <w:color w:val="000000" w:themeColor="text1"/>
          <w:sz w:val="32"/>
          <w:szCs w:val="32"/>
          <w:lang w:eastAsia="zh-CN"/>
        </w:rPr>
        <w:t>公正</w:t>
      </w:r>
      <w:r>
        <w:rPr>
          <w:rFonts w:hint="default" w:ascii="Times New Roman" w:hAnsi="Times New Roman" w:eastAsia="仿宋_GB2312" w:cs="Times New Roman"/>
          <w:color w:val="000000" w:themeColor="text1"/>
          <w:sz w:val="32"/>
          <w:szCs w:val="32"/>
        </w:rPr>
        <w:t>、效率原则；以业务需求为导向、信息系统建设为基础，实现我市医疗卫生服务利用智能监管系统，根据本地医疗保险制度运行和付费方式的特点、医疗服务监控需求，确定适合本地的监控规则和指标，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p w14:paraId="17EAEEF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000000" w:themeColor="text1"/>
          <w:sz w:val="32"/>
          <w:szCs w:val="32"/>
        </w:rPr>
        <w:t>《社会保险法》《国家医疗保障 局关于优化医保领域便民服务的意见》“推进互联网+医保服务”依托全国一体化政务服务平台</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推动医保经办服务网上办理</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实现掌上办网上办</w:t>
      </w:r>
      <w:r>
        <w:rPr>
          <w:rFonts w:hint="default" w:ascii="Times New Roman" w:hAnsi="Times New Roman" w:eastAsia="仿宋_GB2312" w:cs="Times New Roman"/>
          <w:color w:val="000000" w:themeColor="text1"/>
          <w:sz w:val="32"/>
          <w:szCs w:val="32"/>
          <w:lang w:eastAsia="zh-CN"/>
        </w:rPr>
        <w:t>。</w:t>
      </w:r>
    </w:p>
    <w:p w14:paraId="34A47F2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515981E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2025年1月1日至2025年12月31日。</w:t>
      </w:r>
    </w:p>
    <w:p w14:paraId="147EEA0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color w:val="000000" w:themeColor="text1"/>
          <w:sz w:val="32"/>
          <w:szCs w:val="32"/>
        </w:rPr>
        <w:t>建立医疗专家库,聘请专家对门诊慢性病药品、诊疗项目审核及药品目录制定、调整、就医用药标准、临床路径的确认等疑难问题确认,专业标准拟定,医疗审核争议复审,按病种付费咨询</w:t>
      </w:r>
      <w:r>
        <w:rPr>
          <w:rFonts w:hint="default" w:ascii="Times New Roman" w:hAnsi="Times New Roman" w:eastAsia="仿宋_GB2312" w:cs="Times New Roman"/>
          <w:color w:val="000000" w:themeColor="text1"/>
          <w:sz w:val="32"/>
          <w:szCs w:val="32"/>
          <w:lang w:eastAsia="zh-CN"/>
        </w:rPr>
        <w:t>。聘请专家对门诊慢性病药品、诊疗项目审核及药品目录制定、医疗费、生育并发症专家审核审核。</w:t>
      </w:r>
    </w:p>
    <w:p w14:paraId="4B64E773">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14万元。</w:t>
      </w:r>
    </w:p>
    <w:p w14:paraId="5C57A64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604"/>
        <w:gridCol w:w="664"/>
        <w:gridCol w:w="1412"/>
        <w:gridCol w:w="1522"/>
        <w:gridCol w:w="739"/>
        <w:gridCol w:w="827"/>
        <w:gridCol w:w="1390"/>
        <w:gridCol w:w="1348"/>
      </w:tblGrid>
      <w:tr w14:paraId="5D72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9240" w:type="dxa"/>
            <w:gridSpan w:val="9"/>
            <w:tcBorders>
              <w:top w:val="nil"/>
              <w:left w:val="nil"/>
              <w:bottom w:val="nil"/>
              <w:right w:val="nil"/>
            </w:tcBorders>
            <w:shd w:val="clear" w:color="auto" w:fill="auto"/>
            <w:vAlign w:val="center"/>
          </w:tcPr>
          <w:p w14:paraId="09706F8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32"/>
                <w:szCs w:val="32"/>
                <w:u w:val="none"/>
                <w:lang w:val="en-US" w:eastAsia="zh-CN" w:bidi="ar"/>
              </w:rPr>
              <w:t>项目支出绩效目标申报表</w:t>
            </w:r>
          </w:p>
        </w:tc>
      </w:tr>
      <w:tr w14:paraId="37C8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240" w:type="dxa"/>
            <w:gridSpan w:val="9"/>
            <w:tcBorders>
              <w:top w:val="nil"/>
              <w:left w:val="nil"/>
              <w:bottom w:val="nil"/>
              <w:right w:val="nil"/>
            </w:tcBorders>
            <w:shd w:val="clear" w:color="auto" w:fill="auto"/>
            <w:vAlign w:val="center"/>
          </w:tcPr>
          <w:p w14:paraId="4A7FD3B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2025  年度）</w:t>
            </w:r>
          </w:p>
        </w:tc>
      </w:tr>
      <w:tr w14:paraId="6B3B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2002" w:type="dxa"/>
            <w:gridSpan w:val="3"/>
            <w:tcBorders>
              <w:top w:val="single" w:color="000000" w:sz="4" w:space="0"/>
              <w:left w:val="single" w:color="000000" w:sz="4" w:space="0"/>
              <w:bottom w:val="single" w:color="000000" w:sz="4" w:space="0"/>
              <w:right w:val="nil"/>
            </w:tcBorders>
            <w:shd w:val="clear" w:color="auto" w:fill="auto"/>
            <w:vAlign w:val="center"/>
          </w:tcPr>
          <w:p w14:paraId="73B143C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2323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医疗审核和鉴定等专项经费</w:t>
            </w:r>
          </w:p>
        </w:tc>
      </w:tr>
      <w:tr w14:paraId="1303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002" w:type="dxa"/>
            <w:gridSpan w:val="3"/>
            <w:tcBorders>
              <w:top w:val="single" w:color="000000" w:sz="4" w:space="0"/>
              <w:left w:val="single" w:color="000000" w:sz="4" w:space="0"/>
              <w:bottom w:val="single" w:color="000000" w:sz="4" w:space="0"/>
              <w:right w:val="nil"/>
            </w:tcBorders>
            <w:shd w:val="clear" w:color="auto" w:fill="auto"/>
            <w:vAlign w:val="center"/>
          </w:tcPr>
          <w:p w14:paraId="0C7A9A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主管部门及代码</w:t>
            </w:r>
          </w:p>
        </w:tc>
        <w:tc>
          <w:tcPr>
            <w:tcW w:w="2934" w:type="dxa"/>
            <w:gridSpan w:val="2"/>
            <w:tcBorders>
              <w:top w:val="single" w:color="000000" w:sz="4" w:space="0"/>
              <w:left w:val="single" w:color="000000" w:sz="4" w:space="0"/>
              <w:bottom w:val="single" w:color="000000" w:sz="4" w:space="0"/>
              <w:right w:val="nil"/>
            </w:tcBorders>
            <w:shd w:val="clear" w:color="auto" w:fill="auto"/>
            <w:vAlign w:val="center"/>
          </w:tcPr>
          <w:p w14:paraId="1AD278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[107]淮北市医疗保障局</w:t>
            </w:r>
          </w:p>
        </w:tc>
        <w:tc>
          <w:tcPr>
            <w:tcW w:w="2956" w:type="dxa"/>
            <w:gridSpan w:val="3"/>
            <w:tcBorders>
              <w:top w:val="single" w:color="000000" w:sz="4" w:space="0"/>
              <w:left w:val="single" w:color="000000" w:sz="4" w:space="0"/>
              <w:bottom w:val="single" w:color="000000" w:sz="4" w:space="0"/>
              <w:right w:val="nil"/>
            </w:tcBorders>
            <w:shd w:val="clear" w:color="auto" w:fill="auto"/>
            <w:vAlign w:val="center"/>
          </w:tcPr>
          <w:p w14:paraId="4E490D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6E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淮北市医疗生育保险管理服务中心</w:t>
            </w:r>
          </w:p>
        </w:tc>
      </w:tr>
      <w:tr w14:paraId="1700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2002" w:type="dxa"/>
            <w:gridSpan w:val="3"/>
            <w:tcBorders>
              <w:top w:val="single" w:color="000000" w:sz="4" w:space="0"/>
              <w:left w:val="single" w:color="000000" w:sz="4" w:space="0"/>
              <w:bottom w:val="single" w:color="000000" w:sz="4" w:space="0"/>
              <w:right w:val="nil"/>
            </w:tcBorders>
            <w:shd w:val="clear" w:color="auto" w:fill="auto"/>
            <w:vAlign w:val="center"/>
          </w:tcPr>
          <w:p w14:paraId="38C1B2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项目属性</w:t>
            </w:r>
          </w:p>
        </w:tc>
        <w:tc>
          <w:tcPr>
            <w:tcW w:w="2934" w:type="dxa"/>
            <w:gridSpan w:val="2"/>
            <w:tcBorders>
              <w:top w:val="single" w:color="000000" w:sz="4" w:space="0"/>
              <w:left w:val="single" w:color="000000" w:sz="4" w:space="0"/>
              <w:bottom w:val="single" w:color="000000" w:sz="4" w:space="0"/>
              <w:right w:val="nil"/>
            </w:tcBorders>
            <w:shd w:val="clear" w:color="auto" w:fill="auto"/>
            <w:vAlign w:val="center"/>
          </w:tcPr>
          <w:p w14:paraId="37A023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常年项目</w:t>
            </w:r>
          </w:p>
        </w:tc>
        <w:tc>
          <w:tcPr>
            <w:tcW w:w="2956" w:type="dxa"/>
            <w:gridSpan w:val="3"/>
            <w:tcBorders>
              <w:top w:val="single" w:color="000000" w:sz="4" w:space="0"/>
              <w:left w:val="single" w:color="000000" w:sz="4" w:space="0"/>
              <w:bottom w:val="single" w:color="000000" w:sz="4" w:space="0"/>
              <w:right w:val="nil"/>
            </w:tcBorders>
            <w:shd w:val="clear" w:color="auto" w:fill="auto"/>
            <w:vAlign w:val="center"/>
          </w:tcPr>
          <w:p w14:paraId="072FE8A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项目期</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AB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1年 </w:t>
            </w:r>
          </w:p>
        </w:tc>
      </w:tr>
      <w:tr w14:paraId="13B8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2002"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D3C5A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项目资金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（万元）</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5429E30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中期资金总额：</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229CC125">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14.00 </w:t>
            </w:r>
          </w:p>
        </w:tc>
        <w:tc>
          <w:tcPr>
            <w:tcW w:w="2956" w:type="dxa"/>
            <w:gridSpan w:val="3"/>
            <w:tcBorders>
              <w:top w:val="single" w:color="000000" w:sz="4" w:space="0"/>
              <w:left w:val="single" w:color="000000" w:sz="4" w:space="0"/>
              <w:bottom w:val="single" w:color="000000" w:sz="4" w:space="0"/>
              <w:right w:val="nil"/>
            </w:tcBorders>
            <w:shd w:val="clear" w:color="auto" w:fill="auto"/>
            <w:vAlign w:val="center"/>
          </w:tcPr>
          <w:p w14:paraId="02ADFF0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年度资金总额：</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C14A">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14.00 </w:t>
            </w:r>
          </w:p>
        </w:tc>
      </w:tr>
      <w:tr w14:paraId="1553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200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0940ECA">
            <w:pPr>
              <w:jc w:val="center"/>
              <w:rPr>
                <w:rFonts w:hint="eastAsia" w:ascii="仿宋_GB2312" w:hAnsi="仿宋_GB2312" w:eastAsia="仿宋_GB2312" w:cs="仿宋_GB2312"/>
                <w:i w:val="0"/>
                <w:iCs w:val="0"/>
                <w:color w:val="000000"/>
                <w:sz w:val="18"/>
                <w:szCs w:val="18"/>
                <w:u w:val="none"/>
              </w:rPr>
            </w:pP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0614122C">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21CCD3BA">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14.00 </w:t>
            </w:r>
          </w:p>
        </w:tc>
        <w:tc>
          <w:tcPr>
            <w:tcW w:w="2956" w:type="dxa"/>
            <w:gridSpan w:val="3"/>
            <w:tcBorders>
              <w:top w:val="single" w:color="000000" w:sz="4" w:space="0"/>
              <w:left w:val="single" w:color="000000" w:sz="4" w:space="0"/>
              <w:bottom w:val="single" w:color="000000" w:sz="4" w:space="0"/>
              <w:right w:val="nil"/>
            </w:tcBorders>
            <w:shd w:val="clear" w:color="auto" w:fill="auto"/>
            <w:vAlign w:val="center"/>
          </w:tcPr>
          <w:p w14:paraId="799F86B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8959">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14.00 </w:t>
            </w:r>
          </w:p>
        </w:tc>
      </w:tr>
      <w:tr w14:paraId="3F3A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200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4552C28">
            <w:pPr>
              <w:jc w:val="center"/>
              <w:rPr>
                <w:rFonts w:hint="eastAsia" w:ascii="仿宋_GB2312" w:hAnsi="仿宋_GB2312" w:eastAsia="仿宋_GB2312" w:cs="仿宋_GB2312"/>
                <w:i w:val="0"/>
                <w:iCs w:val="0"/>
                <w:color w:val="000000"/>
                <w:sz w:val="18"/>
                <w:szCs w:val="18"/>
                <w:u w:val="none"/>
              </w:rPr>
            </w:pP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4B715F4E">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7CBF2C4B">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c>
          <w:tcPr>
            <w:tcW w:w="2956" w:type="dxa"/>
            <w:gridSpan w:val="3"/>
            <w:tcBorders>
              <w:top w:val="single" w:color="000000" w:sz="4" w:space="0"/>
              <w:left w:val="single" w:color="000000" w:sz="4" w:space="0"/>
              <w:bottom w:val="single" w:color="000000" w:sz="4" w:space="0"/>
              <w:right w:val="nil"/>
            </w:tcBorders>
            <w:shd w:val="clear" w:color="auto" w:fill="auto"/>
            <w:vAlign w:val="center"/>
          </w:tcPr>
          <w:p w14:paraId="15D3450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B00A">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r>
      <w:tr w14:paraId="502D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34" w:type="dxa"/>
            <w:vMerge w:val="restart"/>
            <w:tcBorders>
              <w:top w:val="single" w:color="000000" w:sz="4" w:space="0"/>
              <w:left w:val="single" w:color="000000" w:sz="4" w:space="0"/>
              <w:bottom w:val="single" w:color="000000" w:sz="4" w:space="0"/>
              <w:right w:val="nil"/>
            </w:tcBorders>
            <w:shd w:val="clear" w:color="auto" w:fill="auto"/>
            <w:vAlign w:val="center"/>
          </w:tcPr>
          <w:p w14:paraId="1107CCC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体</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4202" w:type="dxa"/>
            <w:gridSpan w:val="4"/>
            <w:tcBorders>
              <w:top w:val="single" w:color="000000" w:sz="4" w:space="0"/>
              <w:left w:val="single" w:color="000000" w:sz="4" w:space="0"/>
              <w:bottom w:val="single" w:color="000000" w:sz="4" w:space="0"/>
              <w:right w:val="nil"/>
            </w:tcBorders>
            <w:shd w:val="clear" w:color="auto" w:fill="auto"/>
            <w:vAlign w:val="center"/>
          </w:tcPr>
          <w:p w14:paraId="01EB1D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中期目标（2025年—2025年）</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3B808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w:t>
            </w:r>
          </w:p>
        </w:tc>
      </w:tr>
      <w:tr w14:paraId="6390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34" w:type="dxa"/>
            <w:vMerge w:val="continue"/>
            <w:tcBorders>
              <w:top w:val="single" w:color="000000" w:sz="4" w:space="0"/>
              <w:left w:val="single" w:color="000000" w:sz="4" w:space="0"/>
              <w:bottom w:val="single" w:color="000000" w:sz="4" w:space="0"/>
              <w:right w:val="nil"/>
            </w:tcBorders>
            <w:shd w:val="clear" w:color="auto" w:fill="auto"/>
            <w:vAlign w:val="center"/>
          </w:tcPr>
          <w:p w14:paraId="3DBB5375">
            <w:pPr>
              <w:jc w:val="center"/>
              <w:rPr>
                <w:rFonts w:hint="eastAsia" w:ascii="仿宋_GB2312" w:hAnsi="仿宋_GB2312" w:eastAsia="仿宋_GB2312" w:cs="仿宋_GB2312"/>
                <w:i w:val="0"/>
                <w:iCs w:val="0"/>
                <w:color w:val="000000"/>
                <w:sz w:val="18"/>
                <w:szCs w:val="18"/>
                <w:u w:val="none"/>
              </w:rPr>
            </w:pPr>
          </w:p>
        </w:tc>
        <w:tc>
          <w:tcPr>
            <w:tcW w:w="4202" w:type="dxa"/>
            <w:gridSpan w:val="4"/>
            <w:tcBorders>
              <w:top w:val="single" w:color="000000" w:sz="4" w:space="0"/>
              <w:left w:val="single" w:color="000000" w:sz="4" w:space="0"/>
              <w:bottom w:val="single" w:color="000000" w:sz="4" w:space="0"/>
              <w:right w:val="nil"/>
            </w:tcBorders>
            <w:shd w:val="clear" w:color="auto" w:fill="auto"/>
            <w:vAlign w:val="center"/>
          </w:tcPr>
          <w:p w14:paraId="309CD48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0A6991">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r>
      <w:tr w14:paraId="5E14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97BA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指</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604" w:type="dxa"/>
            <w:tcBorders>
              <w:top w:val="single" w:color="000000" w:sz="4" w:space="0"/>
              <w:left w:val="nil"/>
              <w:bottom w:val="single" w:color="000000" w:sz="4" w:space="0"/>
              <w:right w:val="nil"/>
            </w:tcBorders>
            <w:shd w:val="clear" w:color="auto" w:fill="auto"/>
            <w:vAlign w:val="center"/>
          </w:tcPr>
          <w:p w14:paraId="7E7FE0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664" w:type="dxa"/>
            <w:tcBorders>
              <w:top w:val="single" w:color="000000" w:sz="4" w:space="0"/>
              <w:left w:val="single" w:color="000000" w:sz="4" w:space="0"/>
              <w:bottom w:val="single" w:color="000000" w:sz="4" w:space="0"/>
              <w:right w:val="nil"/>
            </w:tcBorders>
            <w:shd w:val="clear" w:color="auto" w:fill="auto"/>
            <w:vAlign w:val="center"/>
          </w:tcPr>
          <w:p w14:paraId="7BFA769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2480DD9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72EE06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739" w:type="dxa"/>
            <w:tcBorders>
              <w:top w:val="single" w:color="000000" w:sz="4" w:space="0"/>
              <w:left w:val="single" w:color="000000" w:sz="4" w:space="0"/>
              <w:bottom w:val="single" w:color="000000" w:sz="4" w:space="0"/>
              <w:right w:val="nil"/>
            </w:tcBorders>
            <w:shd w:val="clear" w:color="auto" w:fill="auto"/>
            <w:vAlign w:val="center"/>
          </w:tcPr>
          <w:p w14:paraId="59A791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773C81F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31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r>
      <w:tr w14:paraId="1873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ED553">
            <w:pPr>
              <w:jc w:val="center"/>
              <w:rPr>
                <w:rFonts w:hint="eastAsia" w:ascii="仿宋_GB2312" w:hAnsi="仿宋_GB2312" w:eastAsia="仿宋_GB2312" w:cs="仿宋_GB2312"/>
                <w:i w:val="0"/>
                <w:iCs w:val="0"/>
                <w:color w:val="000000"/>
                <w:sz w:val="18"/>
                <w:szCs w:val="18"/>
                <w:u w:val="none"/>
              </w:rPr>
            </w:pPr>
          </w:p>
        </w:tc>
        <w:tc>
          <w:tcPr>
            <w:tcW w:w="604" w:type="dxa"/>
            <w:vMerge w:val="restart"/>
            <w:tcBorders>
              <w:top w:val="single" w:color="000000" w:sz="4" w:space="0"/>
              <w:left w:val="nil"/>
              <w:bottom w:val="single" w:color="000000" w:sz="4" w:space="0"/>
              <w:right w:val="nil"/>
            </w:tcBorders>
            <w:shd w:val="clear" w:color="auto" w:fill="auto"/>
            <w:vAlign w:val="center"/>
          </w:tcPr>
          <w:p w14:paraId="388A62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664" w:type="dxa"/>
            <w:vMerge w:val="restart"/>
            <w:tcBorders>
              <w:top w:val="single" w:color="000000" w:sz="4" w:space="0"/>
              <w:left w:val="single" w:color="000000" w:sz="4" w:space="0"/>
              <w:bottom w:val="single" w:color="000000" w:sz="4" w:space="0"/>
              <w:right w:val="nil"/>
            </w:tcBorders>
            <w:shd w:val="clear" w:color="auto" w:fill="auto"/>
            <w:vAlign w:val="center"/>
          </w:tcPr>
          <w:p w14:paraId="7E017F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769CA0C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监控及稽核医疗机构</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6ECA6FC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≥1276家</w:t>
            </w:r>
          </w:p>
        </w:tc>
        <w:tc>
          <w:tcPr>
            <w:tcW w:w="739" w:type="dxa"/>
            <w:vMerge w:val="restart"/>
            <w:tcBorders>
              <w:top w:val="single" w:color="000000" w:sz="4" w:space="0"/>
              <w:left w:val="single" w:color="000000" w:sz="4" w:space="0"/>
              <w:bottom w:val="single" w:color="000000" w:sz="4" w:space="0"/>
              <w:right w:val="nil"/>
            </w:tcBorders>
            <w:shd w:val="clear" w:color="auto" w:fill="auto"/>
            <w:vAlign w:val="center"/>
          </w:tcPr>
          <w:p w14:paraId="43E9B2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6A3D3C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审核规则及审核次数</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8C4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逐步实现全覆盖</w:t>
            </w:r>
          </w:p>
        </w:tc>
      </w:tr>
      <w:tr w14:paraId="6005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9"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BF5C">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77232A15">
            <w:pPr>
              <w:jc w:val="center"/>
              <w:rPr>
                <w:rFonts w:hint="eastAsia" w:ascii="仿宋_GB2312" w:hAnsi="仿宋_GB2312" w:eastAsia="仿宋_GB2312" w:cs="仿宋_GB2312"/>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nil"/>
            </w:tcBorders>
            <w:shd w:val="clear" w:color="auto" w:fill="auto"/>
            <w:vAlign w:val="center"/>
          </w:tcPr>
          <w:p w14:paraId="3AD11677">
            <w:pPr>
              <w:jc w:val="center"/>
              <w:rPr>
                <w:rFonts w:hint="eastAsia" w:ascii="仿宋_GB2312" w:hAnsi="仿宋_GB2312" w:eastAsia="仿宋_GB2312" w:cs="仿宋_GB2312"/>
                <w:i w:val="0"/>
                <w:iCs w:val="0"/>
                <w:color w:val="000000"/>
                <w:sz w:val="18"/>
                <w:szCs w:val="18"/>
                <w:u w:val="none"/>
              </w:rPr>
            </w:pP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4B9186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住院审核 率</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1B95C2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739" w:type="dxa"/>
            <w:vMerge w:val="continue"/>
            <w:tcBorders>
              <w:top w:val="single" w:color="000000" w:sz="4" w:space="0"/>
              <w:left w:val="single" w:color="000000" w:sz="4" w:space="0"/>
              <w:bottom w:val="single" w:color="000000" w:sz="4" w:space="0"/>
              <w:right w:val="nil"/>
            </w:tcBorders>
            <w:shd w:val="clear" w:color="auto" w:fill="auto"/>
            <w:vAlign w:val="center"/>
          </w:tcPr>
          <w:p w14:paraId="2CA8C664">
            <w:pPr>
              <w:jc w:val="center"/>
              <w:rPr>
                <w:rFonts w:hint="eastAsia" w:ascii="仿宋_GB2312" w:hAnsi="仿宋_GB2312" w:eastAsia="仿宋_GB2312" w:cs="仿宋_GB2312"/>
                <w:i w:val="0"/>
                <w:iCs w:val="0"/>
                <w:color w:val="000000"/>
                <w:sz w:val="18"/>
                <w:szCs w:val="18"/>
                <w:u w:val="none"/>
              </w:rPr>
            </w:pPr>
          </w:p>
        </w:tc>
        <w:tc>
          <w:tcPr>
            <w:tcW w:w="827" w:type="dxa"/>
            <w:tcBorders>
              <w:top w:val="single" w:color="000000" w:sz="4" w:space="0"/>
              <w:left w:val="single" w:color="000000" w:sz="4" w:space="0"/>
              <w:bottom w:val="single" w:color="000000" w:sz="4" w:space="0"/>
              <w:right w:val="nil"/>
            </w:tcBorders>
            <w:shd w:val="clear" w:color="auto" w:fill="auto"/>
            <w:vAlign w:val="center"/>
          </w:tcPr>
          <w:p w14:paraId="1E950F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监控及稽核范围</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461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r>
      <w:tr w14:paraId="7875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B4D74">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35D3FA38">
            <w:pPr>
              <w:jc w:val="center"/>
              <w:rPr>
                <w:rFonts w:hint="eastAsia" w:ascii="仿宋_GB2312" w:hAnsi="仿宋_GB2312" w:eastAsia="仿宋_GB2312" w:cs="仿宋_GB2312"/>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nil"/>
            </w:tcBorders>
            <w:shd w:val="clear" w:color="auto" w:fill="auto"/>
            <w:vAlign w:val="center"/>
          </w:tcPr>
          <w:p w14:paraId="400A4732">
            <w:pPr>
              <w:jc w:val="center"/>
              <w:rPr>
                <w:rFonts w:hint="eastAsia" w:ascii="仿宋_GB2312" w:hAnsi="仿宋_GB2312" w:eastAsia="仿宋_GB2312" w:cs="仿宋_GB2312"/>
                <w:i w:val="0"/>
                <w:iCs w:val="0"/>
                <w:color w:val="000000"/>
                <w:sz w:val="18"/>
                <w:szCs w:val="18"/>
                <w:u w:val="none"/>
              </w:rPr>
            </w:pP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4FDEB1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审核规则及审核次数</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42989E0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≥283条</w:t>
            </w:r>
          </w:p>
        </w:tc>
        <w:tc>
          <w:tcPr>
            <w:tcW w:w="739" w:type="dxa"/>
            <w:vMerge w:val="continue"/>
            <w:tcBorders>
              <w:top w:val="single" w:color="000000" w:sz="4" w:space="0"/>
              <w:left w:val="single" w:color="000000" w:sz="4" w:space="0"/>
              <w:bottom w:val="single" w:color="000000" w:sz="4" w:space="0"/>
              <w:right w:val="nil"/>
            </w:tcBorders>
            <w:shd w:val="clear" w:color="auto" w:fill="auto"/>
            <w:vAlign w:val="center"/>
          </w:tcPr>
          <w:p w14:paraId="29AF72B9">
            <w:pPr>
              <w:jc w:val="center"/>
              <w:rPr>
                <w:rFonts w:hint="eastAsia" w:ascii="仿宋_GB2312" w:hAnsi="仿宋_GB2312" w:eastAsia="仿宋_GB2312" w:cs="仿宋_GB2312"/>
                <w:i w:val="0"/>
                <w:iCs w:val="0"/>
                <w:color w:val="000000"/>
                <w:sz w:val="18"/>
                <w:szCs w:val="18"/>
                <w:u w:val="none"/>
              </w:rPr>
            </w:pPr>
          </w:p>
        </w:tc>
        <w:tc>
          <w:tcPr>
            <w:tcW w:w="827" w:type="dxa"/>
            <w:tcBorders>
              <w:top w:val="single" w:color="000000" w:sz="4" w:space="0"/>
              <w:left w:val="single" w:color="000000" w:sz="4" w:space="0"/>
              <w:bottom w:val="single" w:color="000000" w:sz="4" w:space="0"/>
              <w:right w:val="nil"/>
            </w:tcBorders>
            <w:shd w:val="clear" w:color="auto" w:fill="auto"/>
            <w:vAlign w:val="center"/>
          </w:tcPr>
          <w:p w14:paraId="27A078F9">
            <w:pPr>
              <w:jc w:val="center"/>
              <w:rPr>
                <w:rFonts w:hint="eastAsia" w:ascii="仿宋_GB2312" w:hAnsi="仿宋_GB2312" w:eastAsia="仿宋_GB2312" w:cs="仿宋_GB2312"/>
                <w:i w:val="0"/>
                <w:iCs w:val="0"/>
                <w:color w:val="000000"/>
                <w:sz w:val="18"/>
                <w:szCs w:val="18"/>
                <w:u w:val="none"/>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02406">
            <w:pPr>
              <w:jc w:val="center"/>
              <w:rPr>
                <w:rFonts w:hint="eastAsia" w:ascii="仿宋_GB2312" w:hAnsi="仿宋_GB2312" w:eastAsia="仿宋_GB2312" w:cs="仿宋_GB2312"/>
                <w:i w:val="0"/>
                <w:iCs w:val="0"/>
                <w:color w:val="000000"/>
                <w:sz w:val="18"/>
                <w:szCs w:val="18"/>
                <w:u w:val="none"/>
              </w:rPr>
            </w:pPr>
          </w:p>
        </w:tc>
      </w:tr>
      <w:tr w14:paraId="5D3F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33BB6">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49F16C9A">
            <w:pPr>
              <w:jc w:val="center"/>
              <w:rPr>
                <w:rFonts w:hint="eastAsia" w:ascii="仿宋_GB2312" w:hAnsi="仿宋_GB2312" w:eastAsia="仿宋_GB2312" w:cs="仿宋_GB2312"/>
                <w:i w:val="0"/>
                <w:iCs w:val="0"/>
                <w:color w:val="000000"/>
                <w:sz w:val="18"/>
                <w:szCs w:val="18"/>
                <w:u w:val="none"/>
              </w:rPr>
            </w:pPr>
          </w:p>
        </w:tc>
        <w:tc>
          <w:tcPr>
            <w:tcW w:w="664" w:type="dxa"/>
            <w:tcBorders>
              <w:top w:val="single" w:color="000000" w:sz="4" w:space="0"/>
              <w:left w:val="single" w:color="000000" w:sz="4" w:space="0"/>
              <w:bottom w:val="single" w:color="000000" w:sz="4" w:space="0"/>
              <w:right w:val="nil"/>
            </w:tcBorders>
            <w:shd w:val="clear" w:color="auto" w:fill="auto"/>
            <w:vAlign w:val="center"/>
          </w:tcPr>
          <w:p w14:paraId="442395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2B8E2E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违规监控提醒率</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7AA146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739" w:type="dxa"/>
            <w:tcBorders>
              <w:top w:val="single" w:color="000000" w:sz="4" w:space="0"/>
              <w:left w:val="single" w:color="000000" w:sz="4" w:space="0"/>
              <w:bottom w:val="single" w:color="000000" w:sz="4" w:space="0"/>
              <w:right w:val="nil"/>
            </w:tcBorders>
            <w:shd w:val="clear" w:color="auto" w:fill="auto"/>
            <w:vAlign w:val="center"/>
          </w:tcPr>
          <w:p w14:paraId="4DEC8E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0891429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违规监控提醒率</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E46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r>
      <w:tr w14:paraId="4201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199F4">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21DC1171">
            <w:pPr>
              <w:jc w:val="center"/>
              <w:rPr>
                <w:rFonts w:hint="eastAsia" w:ascii="仿宋_GB2312" w:hAnsi="仿宋_GB2312" w:eastAsia="仿宋_GB2312" w:cs="仿宋_GB2312"/>
                <w:i w:val="0"/>
                <w:iCs w:val="0"/>
                <w:color w:val="000000"/>
                <w:sz w:val="18"/>
                <w:szCs w:val="18"/>
                <w:u w:val="none"/>
              </w:rPr>
            </w:pPr>
          </w:p>
        </w:tc>
        <w:tc>
          <w:tcPr>
            <w:tcW w:w="664" w:type="dxa"/>
            <w:vMerge w:val="restart"/>
            <w:tcBorders>
              <w:top w:val="single" w:color="000000" w:sz="4" w:space="0"/>
              <w:left w:val="single" w:color="000000" w:sz="4" w:space="0"/>
              <w:bottom w:val="single" w:color="000000" w:sz="4" w:space="0"/>
              <w:right w:val="nil"/>
            </w:tcBorders>
            <w:shd w:val="clear" w:color="auto" w:fill="auto"/>
            <w:vAlign w:val="center"/>
          </w:tcPr>
          <w:p w14:paraId="0D1CBC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3FAFDF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结果运用</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1512B19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2024年监控、审核结果与2025年各定点机构总额控制限额挂沟，节奖超罚。增加定点医疗机构自律意识。</w:t>
            </w:r>
          </w:p>
        </w:tc>
        <w:tc>
          <w:tcPr>
            <w:tcW w:w="739" w:type="dxa"/>
            <w:vMerge w:val="restart"/>
            <w:tcBorders>
              <w:top w:val="single" w:color="000000" w:sz="4" w:space="0"/>
              <w:left w:val="single" w:color="000000" w:sz="4" w:space="0"/>
              <w:bottom w:val="single" w:color="000000" w:sz="4" w:space="0"/>
              <w:right w:val="nil"/>
            </w:tcBorders>
            <w:shd w:val="clear" w:color="auto" w:fill="auto"/>
            <w:vAlign w:val="center"/>
          </w:tcPr>
          <w:p w14:paraId="7C5B28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04A6BC0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结果运用</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E558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2024年监控、审核结果与2025年各定点机构总额控制限额挂沟，节奖超罚。增加定点医疗机构自律意识。</w:t>
            </w:r>
          </w:p>
        </w:tc>
      </w:tr>
      <w:tr w14:paraId="258A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595AC">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478C3846">
            <w:pPr>
              <w:jc w:val="center"/>
              <w:rPr>
                <w:rFonts w:hint="eastAsia" w:ascii="仿宋_GB2312" w:hAnsi="仿宋_GB2312" w:eastAsia="仿宋_GB2312" w:cs="仿宋_GB2312"/>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nil"/>
            </w:tcBorders>
            <w:shd w:val="clear" w:color="auto" w:fill="auto"/>
            <w:vAlign w:val="center"/>
          </w:tcPr>
          <w:p w14:paraId="3D683A80">
            <w:pPr>
              <w:jc w:val="center"/>
              <w:rPr>
                <w:rFonts w:hint="eastAsia" w:ascii="仿宋_GB2312" w:hAnsi="仿宋_GB2312" w:eastAsia="仿宋_GB2312" w:cs="仿宋_GB2312"/>
                <w:i w:val="0"/>
                <w:iCs w:val="0"/>
                <w:color w:val="000000"/>
                <w:sz w:val="18"/>
                <w:szCs w:val="18"/>
                <w:u w:val="none"/>
              </w:rPr>
            </w:pP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08132E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稽核效果</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5A195B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配合智能监控系统。有针对性地监督检查。有效遏制“过渡医疗”和欺诈骗保行为发生，提高资金使用效率。</w:t>
            </w:r>
          </w:p>
        </w:tc>
        <w:tc>
          <w:tcPr>
            <w:tcW w:w="739" w:type="dxa"/>
            <w:vMerge w:val="continue"/>
            <w:tcBorders>
              <w:top w:val="single" w:color="000000" w:sz="4" w:space="0"/>
              <w:left w:val="single" w:color="000000" w:sz="4" w:space="0"/>
              <w:bottom w:val="single" w:color="000000" w:sz="4" w:space="0"/>
              <w:right w:val="nil"/>
            </w:tcBorders>
            <w:shd w:val="clear" w:color="auto" w:fill="auto"/>
            <w:vAlign w:val="center"/>
          </w:tcPr>
          <w:p w14:paraId="20982B4B">
            <w:pPr>
              <w:jc w:val="center"/>
              <w:rPr>
                <w:rFonts w:hint="eastAsia" w:ascii="仿宋_GB2312" w:hAnsi="仿宋_GB2312" w:eastAsia="仿宋_GB2312" w:cs="仿宋_GB2312"/>
                <w:i w:val="0"/>
                <w:iCs w:val="0"/>
                <w:color w:val="000000"/>
                <w:sz w:val="18"/>
                <w:szCs w:val="18"/>
                <w:u w:val="none"/>
              </w:rPr>
            </w:pPr>
          </w:p>
        </w:tc>
        <w:tc>
          <w:tcPr>
            <w:tcW w:w="827" w:type="dxa"/>
            <w:tcBorders>
              <w:top w:val="single" w:color="000000" w:sz="4" w:space="0"/>
              <w:left w:val="single" w:color="000000" w:sz="4" w:space="0"/>
              <w:bottom w:val="single" w:color="000000" w:sz="4" w:space="0"/>
              <w:right w:val="nil"/>
            </w:tcBorders>
            <w:shd w:val="clear" w:color="auto" w:fill="auto"/>
            <w:vAlign w:val="center"/>
          </w:tcPr>
          <w:p w14:paraId="4158ADE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稽核效果</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B16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配合智能监控系统。有针对性地监督检查。有效遏制“过渡医疗”和欺诈骗保行为发生，提高资金使用效率。</w:t>
            </w:r>
          </w:p>
        </w:tc>
      </w:tr>
      <w:tr w14:paraId="4C1C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55BFF">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0C481BCC">
            <w:pPr>
              <w:jc w:val="center"/>
              <w:rPr>
                <w:rFonts w:hint="eastAsia" w:ascii="仿宋_GB2312" w:hAnsi="仿宋_GB2312" w:eastAsia="仿宋_GB2312" w:cs="仿宋_GB2312"/>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nil"/>
            </w:tcBorders>
            <w:shd w:val="clear" w:color="auto" w:fill="auto"/>
            <w:vAlign w:val="center"/>
          </w:tcPr>
          <w:p w14:paraId="486AA346">
            <w:pPr>
              <w:jc w:val="center"/>
              <w:rPr>
                <w:rFonts w:hint="eastAsia" w:ascii="仿宋_GB2312" w:hAnsi="仿宋_GB2312" w:eastAsia="仿宋_GB2312" w:cs="仿宋_GB2312"/>
                <w:i w:val="0"/>
                <w:iCs w:val="0"/>
                <w:color w:val="000000"/>
                <w:sz w:val="18"/>
                <w:szCs w:val="18"/>
                <w:u w:val="none"/>
              </w:rPr>
            </w:pP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68688E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完成及时性</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3D020F6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现场稽查、争议问题当月完成。</w:t>
            </w:r>
          </w:p>
        </w:tc>
        <w:tc>
          <w:tcPr>
            <w:tcW w:w="739" w:type="dxa"/>
            <w:vMerge w:val="continue"/>
            <w:tcBorders>
              <w:top w:val="single" w:color="000000" w:sz="4" w:space="0"/>
              <w:left w:val="single" w:color="000000" w:sz="4" w:space="0"/>
              <w:bottom w:val="single" w:color="000000" w:sz="4" w:space="0"/>
              <w:right w:val="nil"/>
            </w:tcBorders>
            <w:shd w:val="clear" w:color="auto" w:fill="auto"/>
            <w:vAlign w:val="center"/>
          </w:tcPr>
          <w:p w14:paraId="2F138B42">
            <w:pPr>
              <w:jc w:val="center"/>
              <w:rPr>
                <w:rFonts w:hint="eastAsia" w:ascii="仿宋_GB2312" w:hAnsi="仿宋_GB2312" w:eastAsia="仿宋_GB2312" w:cs="仿宋_GB2312"/>
                <w:i w:val="0"/>
                <w:iCs w:val="0"/>
                <w:color w:val="000000"/>
                <w:sz w:val="18"/>
                <w:szCs w:val="18"/>
                <w:u w:val="none"/>
              </w:rPr>
            </w:pPr>
          </w:p>
        </w:tc>
        <w:tc>
          <w:tcPr>
            <w:tcW w:w="827" w:type="dxa"/>
            <w:tcBorders>
              <w:top w:val="single" w:color="000000" w:sz="4" w:space="0"/>
              <w:left w:val="single" w:color="000000" w:sz="4" w:space="0"/>
              <w:bottom w:val="single" w:color="000000" w:sz="4" w:space="0"/>
              <w:right w:val="nil"/>
            </w:tcBorders>
            <w:shd w:val="clear" w:color="auto" w:fill="auto"/>
            <w:vAlign w:val="center"/>
          </w:tcPr>
          <w:p w14:paraId="6FB3DA9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完成及时性</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48B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现场稽查、争议问题当月完成。</w:t>
            </w:r>
          </w:p>
        </w:tc>
      </w:tr>
      <w:tr w14:paraId="33BE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7E849">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5838B13B">
            <w:pPr>
              <w:jc w:val="center"/>
              <w:rPr>
                <w:rFonts w:hint="eastAsia" w:ascii="仿宋_GB2312" w:hAnsi="仿宋_GB2312" w:eastAsia="仿宋_GB2312" w:cs="仿宋_GB2312"/>
                <w:i w:val="0"/>
                <w:iCs w:val="0"/>
                <w:color w:val="000000"/>
                <w:sz w:val="18"/>
                <w:szCs w:val="18"/>
                <w:u w:val="none"/>
              </w:rPr>
            </w:pPr>
          </w:p>
        </w:tc>
        <w:tc>
          <w:tcPr>
            <w:tcW w:w="664" w:type="dxa"/>
            <w:tcBorders>
              <w:top w:val="single" w:color="000000" w:sz="4" w:space="0"/>
              <w:left w:val="single" w:color="000000" w:sz="4" w:space="0"/>
              <w:bottom w:val="single" w:color="000000" w:sz="4" w:space="0"/>
              <w:right w:val="nil"/>
            </w:tcBorders>
            <w:shd w:val="clear" w:color="auto" w:fill="auto"/>
            <w:vAlign w:val="center"/>
          </w:tcPr>
          <w:p w14:paraId="690B2A2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1CF19B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项目计划总成本</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28DB34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≤140000元</w:t>
            </w:r>
          </w:p>
        </w:tc>
        <w:tc>
          <w:tcPr>
            <w:tcW w:w="739" w:type="dxa"/>
            <w:tcBorders>
              <w:top w:val="single" w:color="000000" w:sz="4" w:space="0"/>
              <w:left w:val="single" w:color="000000" w:sz="4" w:space="0"/>
              <w:bottom w:val="single" w:color="000000" w:sz="4" w:space="0"/>
              <w:right w:val="nil"/>
            </w:tcBorders>
            <w:shd w:val="clear" w:color="auto" w:fill="auto"/>
            <w:vAlign w:val="center"/>
          </w:tcPr>
          <w:p w14:paraId="6AF9B2B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0B1F63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项目计划总成本</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DA1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≤230000元</w:t>
            </w:r>
          </w:p>
        </w:tc>
      </w:tr>
      <w:tr w14:paraId="1024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F2E79">
            <w:pPr>
              <w:jc w:val="center"/>
              <w:rPr>
                <w:rFonts w:hint="eastAsia" w:ascii="仿宋_GB2312" w:hAnsi="仿宋_GB2312" w:eastAsia="仿宋_GB2312" w:cs="仿宋_GB2312"/>
                <w:i w:val="0"/>
                <w:iCs w:val="0"/>
                <w:color w:val="000000"/>
                <w:sz w:val="18"/>
                <w:szCs w:val="18"/>
                <w:u w:val="none"/>
              </w:rPr>
            </w:pPr>
          </w:p>
        </w:tc>
        <w:tc>
          <w:tcPr>
            <w:tcW w:w="604" w:type="dxa"/>
            <w:vMerge w:val="restart"/>
            <w:tcBorders>
              <w:top w:val="single" w:color="000000" w:sz="4" w:space="0"/>
              <w:left w:val="nil"/>
              <w:bottom w:val="single" w:color="000000" w:sz="4" w:space="0"/>
              <w:right w:val="nil"/>
            </w:tcBorders>
            <w:shd w:val="clear" w:color="auto" w:fill="auto"/>
            <w:vAlign w:val="center"/>
          </w:tcPr>
          <w:p w14:paraId="5E1EAF0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664" w:type="dxa"/>
            <w:tcBorders>
              <w:top w:val="single" w:color="000000" w:sz="4" w:space="0"/>
              <w:left w:val="single" w:color="000000" w:sz="4" w:space="0"/>
              <w:bottom w:val="single" w:color="000000" w:sz="4" w:space="0"/>
              <w:right w:val="nil"/>
            </w:tcBorders>
            <w:shd w:val="clear" w:color="auto" w:fill="auto"/>
            <w:vAlign w:val="center"/>
          </w:tcPr>
          <w:p w14:paraId="171CCC3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3FE7902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挽回违规基金</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3AC416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截止9月底扣除（追回）违规医基金≈823.67万元</w:t>
            </w:r>
          </w:p>
        </w:tc>
        <w:tc>
          <w:tcPr>
            <w:tcW w:w="739" w:type="dxa"/>
            <w:tcBorders>
              <w:top w:val="single" w:color="000000" w:sz="4" w:space="0"/>
              <w:left w:val="single" w:color="000000" w:sz="4" w:space="0"/>
              <w:bottom w:val="single" w:color="000000" w:sz="4" w:space="0"/>
              <w:right w:val="nil"/>
            </w:tcBorders>
            <w:shd w:val="clear" w:color="auto" w:fill="auto"/>
            <w:vAlign w:val="center"/>
          </w:tcPr>
          <w:p w14:paraId="1D3162C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7F9F404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挽回违规基金</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693A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扣除（追回）违规医基金</w:t>
            </w:r>
          </w:p>
        </w:tc>
      </w:tr>
      <w:tr w14:paraId="4D12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1"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2826">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23DDBCFB">
            <w:pPr>
              <w:jc w:val="center"/>
              <w:rPr>
                <w:rFonts w:hint="eastAsia" w:ascii="仿宋_GB2312" w:hAnsi="仿宋_GB2312" w:eastAsia="仿宋_GB2312" w:cs="仿宋_GB2312"/>
                <w:i w:val="0"/>
                <w:iCs w:val="0"/>
                <w:color w:val="000000"/>
                <w:sz w:val="18"/>
                <w:szCs w:val="18"/>
                <w:u w:val="none"/>
              </w:rPr>
            </w:pPr>
          </w:p>
        </w:tc>
        <w:tc>
          <w:tcPr>
            <w:tcW w:w="664" w:type="dxa"/>
            <w:tcBorders>
              <w:top w:val="single" w:color="000000" w:sz="4" w:space="0"/>
              <w:left w:val="single" w:color="000000" w:sz="4" w:space="0"/>
              <w:bottom w:val="single" w:color="000000" w:sz="4" w:space="0"/>
              <w:right w:val="nil"/>
            </w:tcBorders>
            <w:shd w:val="clear" w:color="auto" w:fill="auto"/>
            <w:vAlign w:val="center"/>
          </w:tcPr>
          <w:p w14:paraId="0B34BF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7D4704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项目效益</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725EEE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配合智能监控系统。有针对性地监督检查。有效规范医疗服务行为,改善就医环境,防止过渡医疗减少基金流失,提高医疗保险基金使用效率。</w:t>
            </w:r>
          </w:p>
        </w:tc>
        <w:tc>
          <w:tcPr>
            <w:tcW w:w="739" w:type="dxa"/>
            <w:tcBorders>
              <w:top w:val="single" w:color="000000" w:sz="4" w:space="0"/>
              <w:left w:val="single" w:color="000000" w:sz="4" w:space="0"/>
              <w:bottom w:val="single" w:color="000000" w:sz="4" w:space="0"/>
              <w:right w:val="nil"/>
            </w:tcBorders>
            <w:shd w:val="clear" w:color="auto" w:fill="auto"/>
            <w:vAlign w:val="center"/>
          </w:tcPr>
          <w:p w14:paraId="08CA9A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3309DD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项目效益</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1E8E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配合智能监控系统。有针对性地监督检查。有效规范医疗服务行为,改善就医环境,防止过渡医疗减少基金流失,提高医疗保险基金使用效率。</w:t>
            </w:r>
          </w:p>
        </w:tc>
      </w:tr>
      <w:tr w14:paraId="1C24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3362">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7D2F7C4C">
            <w:pPr>
              <w:jc w:val="center"/>
              <w:rPr>
                <w:rFonts w:hint="eastAsia" w:ascii="仿宋_GB2312" w:hAnsi="仿宋_GB2312" w:eastAsia="仿宋_GB2312" w:cs="仿宋_GB2312"/>
                <w:i w:val="0"/>
                <w:iCs w:val="0"/>
                <w:color w:val="000000"/>
                <w:sz w:val="18"/>
                <w:szCs w:val="18"/>
                <w:u w:val="none"/>
              </w:rPr>
            </w:pPr>
          </w:p>
        </w:tc>
        <w:tc>
          <w:tcPr>
            <w:tcW w:w="664" w:type="dxa"/>
            <w:tcBorders>
              <w:top w:val="single" w:color="000000" w:sz="4" w:space="0"/>
              <w:left w:val="single" w:color="000000" w:sz="4" w:space="0"/>
              <w:bottom w:val="single" w:color="000000" w:sz="4" w:space="0"/>
              <w:right w:val="nil"/>
            </w:tcBorders>
            <w:shd w:val="clear" w:color="auto" w:fill="auto"/>
            <w:vAlign w:val="center"/>
          </w:tcPr>
          <w:p w14:paraId="369ABD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34A3F0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66D5DA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739" w:type="dxa"/>
            <w:tcBorders>
              <w:top w:val="single" w:color="000000" w:sz="4" w:space="0"/>
              <w:left w:val="single" w:color="000000" w:sz="4" w:space="0"/>
              <w:bottom w:val="single" w:color="000000" w:sz="4" w:space="0"/>
              <w:right w:val="nil"/>
            </w:tcBorders>
            <w:shd w:val="clear" w:color="auto" w:fill="auto"/>
            <w:vAlign w:val="center"/>
          </w:tcPr>
          <w:p w14:paraId="5AD070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16AFDA2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154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r>
      <w:tr w14:paraId="046E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F8F14">
            <w:pPr>
              <w:jc w:val="center"/>
              <w:rPr>
                <w:rFonts w:hint="eastAsia" w:ascii="仿宋_GB2312" w:hAnsi="仿宋_GB2312" w:eastAsia="仿宋_GB2312" w:cs="仿宋_GB2312"/>
                <w:i w:val="0"/>
                <w:iCs w:val="0"/>
                <w:color w:val="000000"/>
                <w:sz w:val="18"/>
                <w:szCs w:val="18"/>
                <w:u w:val="none"/>
              </w:rPr>
            </w:pPr>
          </w:p>
        </w:tc>
        <w:tc>
          <w:tcPr>
            <w:tcW w:w="604" w:type="dxa"/>
            <w:vMerge w:val="continue"/>
            <w:tcBorders>
              <w:top w:val="single" w:color="000000" w:sz="4" w:space="0"/>
              <w:left w:val="nil"/>
              <w:bottom w:val="single" w:color="000000" w:sz="4" w:space="0"/>
              <w:right w:val="nil"/>
            </w:tcBorders>
            <w:shd w:val="clear" w:color="auto" w:fill="auto"/>
            <w:vAlign w:val="center"/>
          </w:tcPr>
          <w:p w14:paraId="20F4616E">
            <w:pPr>
              <w:jc w:val="center"/>
              <w:rPr>
                <w:rFonts w:hint="eastAsia" w:ascii="仿宋_GB2312" w:hAnsi="仿宋_GB2312" w:eastAsia="仿宋_GB2312" w:cs="仿宋_GB2312"/>
                <w:i w:val="0"/>
                <w:iCs w:val="0"/>
                <w:color w:val="000000"/>
                <w:sz w:val="18"/>
                <w:szCs w:val="18"/>
                <w:u w:val="none"/>
              </w:rPr>
            </w:pPr>
          </w:p>
        </w:tc>
        <w:tc>
          <w:tcPr>
            <w:tcW w:w="664" w:type="dxa"/>
            <w:tcBorders>
              <w:top w:val="single" w:color="000000" w:sz="4" w:space="0"/>
              <w:left w:val="single" w:color="000000" w:sz="4" w:space="0"/>
              <w:bottom w:val="single" w:color="000000" w:sz="4" w:space="0"/>
              <w:right w:val="nil"/>
            </w:tcBorders>
            <w:shd w:val="clear" w:color="auto" w:fill="auto"/>
            <w:vAlign w:val="center"/>
          </w:tcPr>
          <w:p w14:paraId="5CE8906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2D6CF21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基金可持续性</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3ECCEF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≥6月</w:t>
            </w:r>
          </w:p>
        </w:tc>
        <w:tc>
          <w:tcPr>
            <w:tcW w:w="739" w:type="dxa"/>
            <w:tcBorders>
              <w:top w:val="single" w:color="000000" w:sz="4" w:space="0"/>
              <w:left w:val="single" w:color="000000" w:sz="4" w:space="0"/>
              <w:bottom w:val="single" w:color="000000" w:sz="4" w:space="0"/>
              <w:right w:val="nil"/>
            </w:tcBorders>
            <w:shd w:val="clear" w:color="auto" w:fill="auto"/>
            <w:vAlign w:val="center"/>
          </w:tcPr>
          <w:p w14:paraId="6B576BC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227E87A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基金可持续性</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433F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≥6月</w:t>
            </w:r>
          </w:p>
        </w:tc>
      </w:tr>
      <w:tr w14:paraId="4153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F553">
            <w:pPr>
              <w:jc w:val="center"/>
              <w:rPr>
                <w:rFonts w:hint="eastAsia" w:ascii="仿宋_GB2312" w:hAnsi="仿宋_GB2312" w:eastAsia="仿宋_GB2312" w:cs="仿宋_GB2312"/>
                <w:i w:val="0"/>
                <w:iCs w:val="0"/>
                <w:color w:val="000000"/>
                <w:sz w:val="18"/>
                <w:szCs w:val="18"/>
                <w:u w:val="none"/>
              </w:rPr>
            </w:pPr>
          </w:p>
        </w:tc>
        <w:tc>
          <w:tcPr>
            <w:tcW w:w="604" w:type="dxa"/>
            <w:tcBorders>
              <w:top w:val="single" w:color="000000" w:sz="4" w:space="0"/>
              <w:left w:val="nil"/>
              <w:bottom w:val="single" w:color="000000" w:sz="4" w:space="0"/>
              <w:right w:val="nil"/>
            </w:tcBorders>
            <w:shd w:val="clear" w:color="auto" w:fill="auto"/>
            <w:vAlign w:val="center"/>
          </w:tcPr>
          <w:p w14:paraId="632AE6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664" w:type="dxa"/>
            <w:tcBorders>
              <w:top w:val="single" w:color="000000" w:sz="4" w:space="0"/>
              <w:left w:val="single" w:color="000000" w:sz="4" w:space="0"/>
              <w:bottom w:val="single" w:color="000000" w:sz="4" w:space="0"/>
              <w:right w:val="nil"/>
            </w:tcBorders>
            <w:shd w:val="clear" w:color="auto" w:fill="auto"/>
            <w:vAlign w:val="center"/>
          </w:tcPr>
          <w:p w14:paraId="1B2A192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412" w:type="dxa"/>
            <w:tcBorders>
              <w:top w:val="single" w:color="000000" w:sz="4" w:space="0"/>
              <w:left w:val="single" w:color="000000" w:sz="4" w:space="0"/>
              <w:bottom w:val="single" w:color="000000" w:sz="4" w:space="0"/>
              <w:right w:val="nil"/>
            </w:tcBorders>
            <w:shd w:val="clear" w:color="auto" w:fill="auto"/>
            <w:vAlign w:val="center"/>
          </w:tcPr>
          <w:p w14:paraId="2E13B0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1522" w:type="dxa"/>
            <w:tcBorders>
              <w:top w:val="single" w:color="000000" w:sz="4" w:space="0"/>
              <w:left w:val="single" w:color="000000" w:sz="4" w:space="0"/>
              <w:bottom w:val="single" w:color="000000" w:sz="4" w:space="0"/>
              <w:right w:val="nil"/>
            </w:tcBorders>
            <w:shd w:val="clear" w:color="auto" w:fill="auto"/>
            <w:vAlign w:val="center"/>
          </w:tcPr>
          <w:p w14:paraId="390F220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739" w:type="dxa"/>
            <w:tcBorders>
              <w:top w:val="single" w:color="000000" w:sz="4" w:space="0"/>
              <w:left w:val="single" w:color="000000" w:sz="4" w:space="0"/>
              <w:bottom w:val="single" w:color="000000" w:sz="4" w:space="0"/>
              <w:right w:val="nil"/>
            </w:tcBorders>
            <w:shd w:val="clear" w:color="auto" w:fill="auto"/>
            <w:vAlign w:val="center"/>
          </w:tcPr>
          <w:p w14:paraId="1C4BF8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827" w:type="dxa"/>
            <w:tcBorders>
              <w:top w:val="single" w:color="000000" w:sz="4" w:space="0"/>
              <w:left w:val="single" w:color="000000" w:sz="4" w:space="0"/>
              <w:bottom w:val="single" w:color="000000" w:sz="4" w:space="0"/>
              <w:right w:val="nil"/>
            </w:tcBorders>
            <w:shd w:val="clear" w:color="auto" w:fill="auto"/>
            <w:vAlign w:val="center"/>
          </w:tcPr>
          <w:p w14:paraId="2C27A1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99D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r>
    </w:tbl>
    <w:p w14:paraId="41388DA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‘二乙’人员医疗补助</w:t>
      </w:r>
      <w:r>
        <w:rPr>
          <w:rFonts w:hint="default" w:ascii="Times New Roman" w:hAnsi="Times New Roman" w:eastAsia="仿宋_GB2312" w:cs="Times New Roman"/>
          <w:kern w:val="0"/>
          <w:sz w:val="32"/>
          <w:szCs w:val="32"/>
        </w:rPr>
        <w:t>”项目。</w:t>
      </w:r>
    </w:p>
    <w:p w14:paraId="4445547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color w:val="000000" w:themeColor="text1"/>
          <w:sz w:val="32"/>
          <w:szCs w:val="32"/>
        </w:rPr>
        <w:t>确保“二乙”医疗待遇不降低，维护“一至六级革命伤残军人”人员医疗合法权益，维护社会稳定。</w:t>
      </w:r>
    </w:p>
    <w:p w14:paraId="67473981">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eastAsia="zh-CN"/>
        </w:rPr>
        <w:t>按照淮医改</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2号规定的待遇和筹资标准。</w:t>
      </w:r>
      <w:r>
        <w:rPr>
          <w:rFonts w:hint="default" w:ascii="Times New Roman" w:hAnsi="Times New Roman" w:eastAsia="仿宋_GB2312" w:cs="Times New Roman"/>
          <w:sz w:val="32"/>
          <w:szCs w:val="32"/>
          <w:highlight w:val="none"/>
          <w:lang w:eastAsia="zh-CN"/>
        </w:rPr>
        <w:t>“二乙”人员为一至六级革命伤残军人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该项目资金的有利于</w:t>
      </w:r>
      <w:r>
        <w:rPr>
          <w:rFonts w:hint="default" w:ascii="Times New Roman" w:hAnsi="Times New Roman" w:eastAsia="仿宋_GB2312" w:cs="Times New Roman"/>
          <w:sz w:val="32"/>
          <w:szCs w:val="32"/>
          <w:highlight w:val="none"/>
        </w:rPr>
        <w:t>确保“二乙”医疗待遇不降低，维护一至六级革命伤残军人医疗合法权益，维护社会稳定。</w:t>
      </w:r>
      <w:r>
        <w:rPr>
          <w:rFonts w:hint="default" w:ascii="Times New Roman" w:hAnsi="Times New Roman" w:eastAsia="仿宋_GB2312" w:cs="Times New Roman"/>
          <w:sz w:val="32"/>
          <w:szCs w:val="32"/>
          <w:highlight w:val="none"/>
          <w:lang w:val="en-US" w:eastAsia="zh-CN"/>
        </w:rPr>
        <w:t>“二乙”</w:t>
      </w:r>
      <w:r>
        <w:rPr>
          <w:rFonts w:hint="default" w:ascii="Times New Roman" w:hAnsi="Times New Roman" w:eastAsia="仿宋_GB2312" w:cs="Times New Roman"/>
          <w:sz w:val="32"/>
          <w:szCs w:val="32"/>
          <w:highlight w:val="none"/>
        </w:rPr>
        <w:t>人员医疗待遇按基本医疗保险的用药范围、诊疗项目、医疗服务设</w:t>
      </w:r>
      <w:r>
        <w:rPr>
          <w:rFonts w:hint="default" w:ascii="Times New Roman" w:hAnsi="Times New Roman" w:eastAsia="仿宋_GB2312" w:cs="Times New Roman"/>
          <w:sz w:val="32"/>
          <w:szCs w:val="32"/>
        </w:rPr>
        <w:t>施范围的支付标准执行</w:t>
      </w:r>
      <w:r>
        <w:rPr>
          <w:rFonts w:hint="default" w:ascii="Times New Roman" w:hAnsi="Times New Roman" w:eastAsia="仿宋_GB2312" w:cs="Times New Roman"/>
          <w:sz w:val="32"/>
          <w:szCs w:val="32"/>
          <w:lang w:eastAsia="zh-CN"/>
        </w:rPr>
        <w:t>。</w:t>
      </w:r>
    </w:p>
    <w:p w14:paraId="0B2C1D8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5AD022A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2025年1月1日至2025年12月31日。</w:t>
      </w:r>
    </w:p>
    <w:p w14:paraId="26D2F5A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筹资标准为每人每年</w:t>
      </w:r>
      <w:r>
        <w:rPr>
          <w:rFonts w:hint="default" w:ascii="Times New Roman" w:hAnsi="Times New Roman" w:eastAsia="仿宋_GB2312" w:cs="Times New Roman"/>
          <w:sz w:val="32"/>
          <w:szCs w:val="32"/>
          <w:lang w:val="en-US" w:eastAsia="zh-CN"/>
        </w:rPr>
        <w:t>6000元，</w:t>
      </w:r>
      <w:r>
        <w:rPr>
          <w:rFonts w:hint="default" w:ascii="Times New Roman" w:hAnsi="Times New Roman" w:eastAsia="仿宋_GB2312" w:cs="Times New Roman"/>
          <w:sz w:val="32"/>
          <w:szCs w:val="32"/>
        </w:rPr>
        <w:t>但个人不负担住院起付标准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分段累加</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个人自付部分，也不受最高支付限额的限制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远不能满足该部分人员的医疗需要，依据社会保险基金各项资金“不得互相挤占，挪用的规定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医疗保险经办机构筹集的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医疗费用不足支付部分，由同级人民政府解决。</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lang w:eastAsia="zh-CN"/>
        </w:rPr>
        <w:t>年1-8月实际支出1</w:t>
      </w:r>
      <w:r>
        <w:rPr>
          <w:rFonts w:hint="default" w:ascii="Times New Roman" w:hAnsi="Times New Roman" w:eastAsia="仿宋_GB2312" w:cs="Times New Roman"/>
          <w:color w:val="000000" w:themeColor="text1"/>
          <w:sz w:val="32"/>
          <w:szCs w:val="32"/>
          <w:lang w:val="en-US" w:eastAsia="zh-CN"/>
        </w:rPr>
        <w:t>50</w:t>
      </w:r>
      <w:r>
        <w:rPr>
          <w:rFonts w:hint="default" w:ascii="Times New Roman" w:hAnsi="Times New Roman" w:eastAsia="仿宋_GB2312" w:cs="Times New Roman"/>
          <w:color w:val="000000" w:themeColor="text1"/>
          <w:sz w:val="32"/>
          <w:szCs w:val="32"/>
          <w:lang w:eastAsia="zh-CN"/>
        </w:rPr>
        <w:t>万元，预计20</w:t>
      </w:r>
      <w:r>
        <w:rPr>
          <w:rFonts w:hint="default" w:ascii="Times New Roman" w:hAnsi="Times New Roman" w:eastAsia="仿宋_GB2312" w:cs="Times New Roman"/>
          <w:color w:val="000000" w:themeColor="text1"/>
          <w:sz w:val="32"/>
          <w:szCs w:val="32"/>
          <w:lang w:val="en-US" w:eastAsia="zh-CN"/>
        </w:rPr>
        <w:t>25</w:t>
      </w:r>
      <w:r>
        <w:rPr>
          <w:rFonts w:hint="default" w:ascii="Times New Roman" w:hAnsi="Times New Roman" w:eastAsia="仿宋_GB2312" w:cs="Times New Roman"/>
          <w:color w:val="000000" w:themeColor="text1"/>
          <w:sz w:val="32"/>
          <w:szCs w:val="32"/>
          <w:lang w:eastAsia="zh-CN"/>
        </w:rPr>
        <w:t>年缺口</w:t>
      </w:r>
      <w:r>
        <w:rPr>
          <w:rFonts w:hint="default" w:ascii="Times New Roman" w:hAnsi="Times New Roman" w:eastAsia="仿宋_GB2312" w:cs="Times New Roman"/>
          <w:color w:val="000000" w:themeColor="text1"/>
          <w:sz w:val="32"/>
          <w:szCs w:val="32"/>
          <w:lang w:val="en-US" w:eastAsia="zh-CN"/>
        </w:rPr>
        <w:t>207</w:t>
      </w:r>
      <w:r>
        <w:rPr>
          <w:rFonts w:hint="default" w:ascii="Times New Roman" w:hAnsi="Times New Roman" w:eastAsia="仿宋_GB2312" w:cs="Times New Roman"/>
          <w:color w:val="000000" w:themeColor="text1"/>
          <w:sz w:val="32"/>
          <w:szCs w:val="32"/>
          <w:lang w:eastAsia="zh-CN"/>
        </w:rPr>
        <w:t>万元。202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eastAsia="zh-CN"/>
        </w:rPr>
        <w:t>年参照202</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lang w:eastAsia="zh-CN"/>
        </w:rPr>
        <w:t>年缺口。</w:t>
      </w:r>
    </w:p>
    <w:p w14:paraId="425CD0C4">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273.7万元。</w:t>
      </w:r>
    </w:p>
    <w:p w14:paraId="52E308F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672"/>
        <w:gridCol w:w="662"/>
        <w:gridCol w:w="1456"/>
        <w:gridCol w:w="1356"/>
        <w:gridCol w:w="618"/>
        <w:gridCol w:w="1853"/>
        <w:gridCol w:w="749"/>
        <w:gridCol w:w="1349"/>
      </w:tblGrid>
      <w:tr w14:paraId="4624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9240" w:type="dxa"/>
            <w:gridSpan w:val="9"/>
            <w:tcBorders>
              <w:top w:val="nil"/>
              <w:left w:val="nil"/>
              <w:bottom w:val="nil"/>
              <w:right w:val="nil"/>
            </w:tcBorders>
            <w:shd w:val="clear" w:color="auto" w:fill="auto"/>
            <w:vAlign w:val="center"/>
          </w:tcPr>
          <w:p w14:paraId="6688D5F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项目支出绩效目标申报表</w:t>
            </w:r>
          </w:p>
        </w:tc>
      </w:tr>
      <w:tr w14:paraId="2E41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240" w:type="dxa"/>
            <w:gridSpan w:val="9"/>
            <w:tcBorders>
              <w:top w:val="nil"/>
              <w:left w:val="nil"/>
              <w:bottom w:val="nil"/>
              <w:right w:val="nil"/>
            </w:tcBorders>
            <w:shd w:val="clear" w:color="auto" w:fill="auto"/>
            <w:vAlign w:val="center"/>
          </w:tcPr>
          <w:p w14:paraId="392907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2025  年度）</w:t>
            </w:r>
          </w:p>
        </w:tc>
      </w:tr>
      <w:tr w14:paraId="2B8C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59" w:type="dxa"/>
            <w:gridSpan w:val="3"/>
            <w:tcBorders>
              <w:top w:val="single" w:color="000000" w:sz="4" w:space="0"/>
              <w:left w:val="single" w:color="000000" w:sz="4" w:space="0"/>
              <w:bottom w:val="single" w:color="000000" w:sz="4" w:space="0"/>
              <w:right w:val="nil"/>
            </w:tcBorders>
            <w:shd w:val="clear" w:color="auto" w:fill="auto"/>
            <w:vAlign w:val="center"/>
          </w:tcPr>
          <w:p w14:paraId="51942D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项目名称</w:t>
            </w:r>
          </w:p>
        </w:tc>
        <w:tc>
          <w:tcPr>
            <w:tcW w:w="7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6FC8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"二乙"人员医疗补助</w:t>
            </w:r>
          </w:p>
        </w:tc>
      </w:tr>
      <w:tr w14:paraId="4AF8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859" w:type="dxa"/>
            <w:gridSpan w:val="3"/>
            <w:tcBorders>
              <w:top w:val="single" w:color="000000" w:sz="4" w:space="0"/>
              <w:left w:val="single" w:color="000000" w:sz="4" w:space="0"/>
              <w:bottom w:val="single" w:color="000000" w:sz="4" w:space="0"/>
              <w:right w:val="nil"/>
            </w:tcBorders>
            <w:shd w:val="clear" w:color="auto" w:fill="auto"/>
            <w:vAlign w:val="center"/>
          </w:tcPr>
          <w:p w14:paraId="2B0260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主管部门及代码</w:t>
            </w:r>
          </w:p>
        </w:tc>
        <w:tc>
          <w:tcPr>
            <w:tcW w:w="2812" w:type="dxa"/>
            <w:gridSpan w:val="2"/>
            <w:tcBorders>
              <w:top w:val="single" w:color="000000" w:sz="4" w:space="0"/>
              <w:left w:val="single" w:color="000000" w:sz="4" w:space="0"/>
              <w:bottom w:val="single" w:color="000000" w:sz="4" w:space="0"/>
              <w:right w:val="nil"/>
            </w:tcBorders>
            <w:shd w:val="clear" w:color="auto" w:fill="auto"/>
            <w:vAlign w:val="center"/>
          </w:tcPr>
          <w:p w14:paraId="5E65266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[107]淮北市医疗保障局</w:t>
            </w:r>
          </w:p>
        </w:tc>
        <w:tc>
          <w:tcPr>
            <w:tcW w:w="3220" w:type="dxa"/>
            <w:gridSpan w:val="3"/>
            <w:tcBorders>
              <w:top w:val="single" w:color="000000" w:sz="4" w:space="0"/>
              <w:left w:val="single" w:color="000000" w:sz="4" w:space="0"/>
              <w:bottom w:val="single" w:color="000000" w:sz="4" w:space="0"/>
              <w:right w:val="nil"/>
            </w:tcBorders>
            <w:shd w:val="clear" w:color="auto" w:fill="auto"/>
            <w:vAlign w:val="center"/>
          </w:tcPr>
          <w:p w14:paraId="55C4D0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B6D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淮北市医疗生育保险管理服务中心</w:t>
            </w:r>
          </w:p>
        </w:tc>
      </w:tr>
      <w:tr w14:paraId="7012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59" w:type="dxa"/>
            <w:gridSpan w:val="3"/>
            <w:tcBorders>
              <w:top w:val="single" w:color="000000" w:sz="4" w:space="0"/>
              <w:left w:val="single" w:color="000000" w:sz="4" w:space="0"/>
              <w:bottom w:val="single" w:color="000000" w:sz="4" w:space="0"/>
              <w:right w:val="nil"/>
            </w:tcBorders>
            <w:shd w:val="clear" w:color="auto" w:fill="auto"/>
            <w:vAlign w:val="center"/>
          </w:tcPr>
          <w:p w14:paraId="5B1C17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项目属性</w:t>
            </w:r>
          </w:p>
        </w:tc>
        <w:tc>
          <w:tcPr>
            <w:tcW w:w="2812" w:type="dxa"/>
            <w:gridSpan w:val="2"/>
            <w:tcBorders>
              <w:top w:val="single" w:color="000000" w:sz="4" w:space="0"/>
              <w:left w:val="single" w:color="000000" w:sz="4" w:space="0"/>
              <w:bottom w:val="single" w:color="000000" w:sz="4" w:space="0"/>
              <w:right w:val="nil"/>
            </w:tcBorders>
            <w:shd w:val="clear" w:color="auto" w:fill="auto"/>
            <w:vAlign w:val="center"/>
          </w:tcPr>
          <w:p w14:paraId="30B7F2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常年项目</w:t>
            </w:r>
          </w:p>
        </w:tc>
        <w:tc>
          <w:tcPr>
            <w:tcW w:w="3220" w:type="dxa"/>
            <w:gridSpan w:val="3"/>
            <w:tcBorders>
              <w:top w:val="single" w:color="000000" w:sz="4" w:space="0"/>
              <w:left w:val="single" w:color="000000" w:sz="4" w:space="0"/>
              <w:bottom w:val="single" w:color="000000" w:sz="4" w:space="0"/>
              <w:right w:val="nil"/>
            </w:tcBorders>
            <w:shd w:val="clear" w:color="auto" w:fill="auto"/>
            <w:vAlign w:val="center"/>
          </w:tcPr>
          <w:p w14:paraId="41DED8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项目期</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005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1年 </w:t>
            </w:r>
          </w:p>
        </w:tc>
      </w:tr>
      <w:tr w14:paraId="4F16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59"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6A0B6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项目资金</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（万元）</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3F5EBAA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中期资金总额：</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7D913744">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273.70 </w:t>
            </w:r>
          </w:p>
        </w:tc>
        <w:tc>
          <w:tcPr>
            <w:tcW w:w="3220" w:type="dxa"/>
            <w:gridSpan w:val="3"/>
            <w:tcBorders>
              <w:top w:val="single" w:color="000000" w:sz="4" w:space="0"/>
              <w:left w:val="single" w:color="000000" w:sz="4" w:space="0"/>
              <w:bottom w:val="single" w:color="000000" w:sz="4" w:space="0"/>
              <w:right w:val="nil"/>
            </w:tcBorders>
            <w:shd w:val="clear" w:color="auto" w:fill="auto"/>
            <w:vAlign w:val="center"/>
          </w:tcPr>
          <w:p w14:paraId="250E901B">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年度资金总额：</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24AF">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273.70 </w:t>
            </w:r>
          </w:p>
        </w:tc>
      </w:tr>
      <w:tr w14:paraId="77BE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59"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74921D6">
            <w:pPr>
              <w:jc w:val="center"/>
              <w:rPr>
                <w:rFonts w:hint="eastAsia" w:ascii="仿宋_GB2312" w:hAnsi="仿宋_GB2312" w:eastAsia="仿宋_GB2312" w:cs="仿宋_GB2312"/>
                <w:i w:val="0"/>
                <w:iCs w:val="0"/>
                <w:color w:val="000000"/>
                <w:sz w:val="18"/>
                <w:szCs w:val="18"/>
                <w:u w:val="none"/>
              </w:rPr>
            </w:pP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247BBA69">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0F67AD58">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273.70 </w:t>
            </w:r>
          </w:p>
        </w:tc>
        <w:tc>
          <w:tcPr>
            <w:tcW w:w="3220" w:type="dxa"/>
            <w:gridSpan w:val="3"/>
            <w:tcBorders>
              <w:top w:val="single" w:color="000000" w:sz="4" w:space="0"/>
              <w:left w:val="single" w:color="000000" w:sz="4" w:space="0"/>
              <w:bottom w:val="single" w:color="000000" w:sz="4" w:space="0"/>
              <w:right w:val="nil"/>
            </w:tcBorders>
            <w:shd w:val="clear" w:color="auto" w:fill="auto"/>
            <w:vAlign w:val="center"/>
          </w:tcPr>
          <w:p w14:paraId="5B301E4A">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其中：财政拨款</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F2F4">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273.70 </w:t>
            </w:r>
          </w:p>
        </w:tc>
      </w:tr>
      <w:tr w14:paraId="4CC1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59"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35FBE995">
            <w:pPr>
              <w:jc w:val="center"/>
              <w:rPr>
                <w:rFonts w:hint="eastAsia" w:ascii="仿宋_GB2312" w:hAnsi="仿宋_GB2312" w:eastAsia="仿宋_GB2312" w:cs="仿宋_GB2312"/>
                <w:i w:val="0"/>
                <w:iCs w:val="0"/>
                <w:color w:val="000000"/>
                <w:sz w:val="18"/>
                <w:szCs w:val="18"/>
                <w:u w:val="none"/>
              </w:rPr>
            </w:pP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0F6A15D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108F48C7">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c>
          <w:tcPr>
            <w:tcW w:w="3220" w:type="dxa"/>
            <w:gridSpan w:val="3"/>
            <w:tcBorders>
              <w:top w:val="single" w:color="000000" w:sz="4" w:space="0"/>
              <w:left w:val="single" w:color="000000" w:sz="4" w:space="0"/>
              <w:bottom w:val="single" w:color="000000" w:sz="4" w:space="0"/>
              <w:right w:val="nil"/>
            </w:tcBorders>
            <w:shd w:val="clear" w:color="auto" w:fill="auto"/>
            <w:vAlign w:val="center"/>
          </w:tcPr>
          <w:p w14:paraId="29F476A6">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其他资金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4371">
            <w:pPr>
              <w:keepNext w:val="0"/>
              <w:keepLines w:val="0"/>
              <w:widowControl/>
              <w:suppressLineNumbers w:val="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0.00 </w:t>
            </w:r>
          </w:p>
        </w:tc>
      </w:tr>
      <w:tr w14:paraId="2700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5" w:type="dxa"/>
            <w:vMerge w:val="restart"/>
            <w:tcBorders>
              <w:top w:val="single" w:color="000000" w:sz="4" w:space="0"/>
              <w:left w:val="single" w:color="000000" w:sz="4" w:space="0"/>
              <w:bottom w:val="single" w:color="000000" w:sz="4" w:space="0"/>
              <w:right w:val="nil"/>
            </w:tcBorders>
            <w:shd w:val="clear" w:color="auto" w:fill="auto"/>
            <w:vAlign w:val="center"/>
          </w:tcPr>
          <w:p w14:paraId="13827B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体</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4146" w:type="dxa"/>
            <w:gridSpan w:val="4"/>
            <w:tcBorders>
              <w:top w:val="single" w:color="000000" w:sz="4" w:space="0"/>
              <w:left w:val="single" w:color="000000" w:sz="4" w:space="0"/>
              <w:bottom w:val="single" w:color="000000" w:sz="4" w:space="0"/>
              <w:right w:val="nil"/>
            </w:tcBorders>
            <w:shd w:val="clear" w:color="auto" w:fill="auto"/>
            <w:vAlign w:val="center"/>
          </w:tcPr>
          <w:p w14:paraId="2C81670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中期目标（2025年—2025年）</w:t>
            </w:r>
          </w:p>
        </w:tc>
        <w:tc>
          <w:tcPr>
            <w:tcW w:w="4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346A2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年度目标</w:t>
            </w:r>
          </w:p>
        </w:tc>
      </w:tr>
      <w:tr w14:paraId="0889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525" w:type="dxa"/>
            <w:vMerge w:val="continue"/>
            <w:tcBorders>
              <w:top w:val="single" w:color="000000" w:sz="4" w:space="0"/>
              <w:left w:val="single" w:color="000000" w:sz="4" w:space="0"/>
              <w:bottom w:val="single" w:color="000000" w:sz="4" w:space="0"/>
              <w:right w:val="nil"/>
            </w:tcBorders>
            <w:shd w:val="clear" w:color="auto" w:fill="auto"/>
            <w:vAlign w:val="center"/>
          </w:tcPr>
          <w:p w14:paraId="1472FA38">
            <w:pPr>
              <w:jc w:val="center"/>
              <w:rPr>
                <w:rFonts w:hint="eastAsia" w:ascii="仿宋_GB2312" w:hAnsi="仿宋_GB2312" w:eastAsia="仿宋_GB2312" w:cs="仿宋_GB2312"/>
                <w:i w:val="0"/>
                <w:iCs w:val="0"/>
                <w:color w:val="000000"/>
                <w:sz w:val="18"/>
                <w:szCs w:val="18"/>
                <w:u w:val="none"/>
              </w:rPr>
            </w:pPr>
          </w:p>
        </w:tc>
        <w:tc>
          <w:tcPr>
            <w:tcW w:w="4146" w:type="dxa"/>
            <w:gridSpan w:val="4"/>
            <w:tcBorders>
              <w:top w:val="single" w:color="000000" w:sz="4" w:space="0"/>
              <w:left w:val="single" w:color="000000" w:sz="4" w:space="0"/>
              <w:bottom w:val="single" w:color="000000" w:sz="4" w:space="0"/>
              <w:right w:val="nil"/>
            </w:tcBorders>
            <w:shd w:val="clear" w:color="auto" w:fill="auto"/>
            <w:vAlign w:val="center"/>
          </w:tcPr>
          <w:p w14:paraId="23C57334">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确保“二乙”医疗待遇不降低，维护“一至六级革命伤残军人”人员医疗合法权益，维护社会稳定</w:t>
            </w:r>
          </w:p>
        </w:tc>
        <w:tc>
          <w:tcPr>
            <w:tcW w:w="4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D68B02">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确保“二乙”医疗待遇不降低，维护“一至六级革命伤残军人”人员医疗合法权益，维护社会稳定</w:t>
            </w:r>
          </w:p>
        </w:tc>
      </w:tr>
      <w:tr w14:paraId="298F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0950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指</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标</w:t>
            </w:r>
          </w:p>
        </w:tc>
        <w:tc>
          <w:tcPr>
            <w:tcW w:w="672" w:type="dxa"/>
            <w:tcBorders>
              <w:top w:val="single" w:color="000000" w:sz="4" w:space="0"/>
              <w:left w:val="nil"/>
              <w:bottom w:val="single" w:color="000000" w:sz="4" w:space="0"/>
              <w:right w:val="nil"/>
            </w:tcBorders>
            <w:shd w:val="clear" w:color="auto" w:fill="auto"/>
            <w:vAlign w:val="center"/>
          </w:tcPr>
          <w:p w14:paraId="6BD3EC4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189199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585A4A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bookmarkStart w:id="0" w:name="_GoBack"/>
            <w:bookmarkEnd w:id="0"/>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73CE518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19F0A4D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72C301F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078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r>
      <w:tr w14:paraId="1D12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037AA">
            <w:pPr>
              <w:jc w:val="center"/>
              <w:rPr>
                <w:rFonts w:hint="eastAsia" w:ascii="仿宋_GB2312" w:hAnsi="仿宋_GB2312" w:eastAsia="仿宋_GB2312" w:cs="仿宋_GB2312"/>
                <w:i w:val="0"/>
                <w:iCs w:val="0"/>
                <w:color w:val="000000"/>
                <w:sz w:val="18"/>
                <w:szCs w:val="18"/>
                <w:u w:val="none"/>
              </w:rPr>
            </w:pPr>
          </w:p>
        </w:tc>
        <w:tc>
          <w:tcPr>
            <w:tcW w:w="672" w:type="dxa"/>
            <w:vMerge w:val="restart"/>
            <w:tcBorders>
              <w:top w:val="single" w:color="000000" w:sz="4" w:space="0"/>
              <w:left w:val="nil"/>
              <w:bottom w:val="single" w:color="000000" w:sz="4" w:space="0"/>
              <w:right w:val="nil"/>
            </w:tcBorders>
            <w:shd w:val="clear" w:color="auto" w:fill="auto"/>
            <w:vAlign w:val="center"/>
          </w:tcPr>
          <w:p w14:paraId="17549B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产出指标</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286F98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0276A0A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资金缺口</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39D42A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≥273.7万元</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7083D9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数量指标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1085D5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资金缺口</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13FD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≥170万元</w:t>
            </w:r>
          </w:p>
        </w:tc>
      </w:tr>
      <w:tr w14:paraId="6424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3B06">
            <w:pPr>
              <w:jc w:val="center"/>
              <w:rPr>
                <w:rFonts w:hint="eastAsia" w:ascii="仿宋_GB2312" w:hAnsi="仿宋_GB2312" w:eastAsia="仿宋_GB2312" w:cs="仿宋_GB2312"/>
                <w:i w:val="0"/>
                <w:iCs w:val="0"/>
                <w:color w:val="000000"/>
                <w:sz w:val="18"/>
                <w:szCs w:val="18"/>
                <w:u w:val="none"/>
              </w:rPr>
            </w:pPr>
          </w:p>
        </w:tc>
        <w:tc>
          <w:tcPr>
            <w:tcW w:w="672" w:type="dxa"/>
            <w:vMerge w:val="continue"/>
            <w:tcBorders>
              <w:top w:val="single" w:color="000000" w:sz="4" w:space="0"/>
              <w:left w:val="nil"/>
              <w:bottom w:val="single" w:color="000000" w:sz="4" w:space="0"/>
              <w:right w:val="nil"/>
            </w:tcBorders>
            <w:shd w:val="clear" w:color="auto" w:fill="auto"/>
            <w:vAlign w:val="center"/>
          </w:tcPr>
          <w:p w14:paraId="47A12F1F">
            <w:pPr>
              <w:jc w:val="center"/>
              <w:rPr>
                <w:rFonts w:hint="eastAsia" w:ascii="仿宋_GB2312" w:hAnsi="仿宋_GB2312" w:eastAsia="仿宋_GB2312" w:cs="仿宋_GB2312"/>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shd w:val="clear" w:color="auto" w:fill="auto"/>
            <w:vAlign w:val="center"/>
          </w:tcPr>
          <w:p w14:paraId="582F035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0A38ED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切实保障了“二乙”人员医疗待遇。</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5FA39B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切实保障了“二乙”人员医疗待遇。</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30493C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质量指标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0BCD19A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切实保障了“二乙”人员医疗待遇。</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46A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切实保障了“二乙”人员医疗待遇。</w:t>
            </w:r>
          </w:p>
        </w:tc>
      </w:tr>
      <w:tr w14:paraId="7DBF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0D4E">
            <w:pPr>
              <w:jc w:val="center"/>
              <w:rPr>
                <w:rFonts w:hint="eastAsia" w:ascii="仿宋_GB2312" w:hAnsi="仿宋_GB2312" w:eastAsia="仿宋_GB2312" w:cs="仿宋_GB2312"/>
                <w:i w:val="0"/>
                <w:iCs w:val="0"/>
                <w:color w:val="000000"/>
                <w:sz w:val="18"/>
                <w:szCs w:val="18"/>
                <w:u w:val="none"/>
              </w:rPr>
            </w:pPr>
          </w:p>
        </w:tc>
        <w:tc>
          <w:tcPr>
            <w:tcW w:w="672" w:type="dxa"/>
            <w:vMerge w:val="continue"/>
            <w:tcBorders>
              <w:top w:val="single" w:color="000000" w:sz="4" w:space="0"/>
              <w:left w:val="nil"/>
              <w:bottom w:val="single" w:color="000000" w:sz="4" w:space="0"/>
              <w:right w:val="nil"/>
            </w:tcBorders>
            <w:shd w:val="clear" w:color="auto" w:fill="auto"/>
            <w:vAlign w:val="center"/>
          </w:tcPr>
          <w:p w14:paraId="58F7DD04">
            <w:pPr>
              <w:jc w:val="center"/>
              <w:rPr>
                <w:rFonts w:hint="eastAsia" w:ascii="仿宋_GB2312" w:hAnsi="仿宋_GB2312" w:eastAsia="仿宋_GB2312" w:cs="仿宋_GB2312"/>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shd w:val="clear" w:color="auto" w:fill="auto"/>
            <w:vAlign w:val="center"/>
          </w:tcPr>
          <w:p w14:paraId="53857DF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5C71304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补贴兑现及时性</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4C33549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≤12月</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16AA257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时效指标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644970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补贴兑现及时性</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78C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≤12月</w:t>
            </w:r>
          </w:p>
        </w:tc>
      </w:tr>
      <w:tr w14:paraId="16F6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A8BD">
            <w:pPr>
              <w:jc w:val="center"/>
              <w:rPr>
                <w:rFonts w:hint="eastAsia" w:ascii="仿宋_GB2312" w:hAnsi="仿宋_GB2312" w:eastAsia="仿宋_GB2312" w:cs="仿宋_GB2312"/>
                <w:i w:val="0"/>
                <w:iCs w:val="0"/>
                <w:color w:val="000000"/>
                <w:sz w:val="18"/>
                <w:szCs w:val="18"/>
                <w:u w:val="none"/>
              </w:rPr>
            </w:pPr>
          </w:p>
        </w:tc>
        <w:tc>
          <w:tcPr>
            <w:tcW w:w="672" w:type="dxa"/>
            <w:vMerge w:val="continue"/>
            <w:tcBorders>
              <w:top w:val="single" w:color="000000" w:sz="4" w:space="0"/>
              <w:left w:val="nil"/>
              <w:bottom w:val="single" w:color="000000" w:sz="4" w:space="0"/>
              <w:right w:val="nil"/>
            </w:tcBorders>
            <w:shd w:val="clear" w:color="auto" w:fill="auto"/>
            <w:vAlign w:val="center"/>
          </w:tcPr>
          <w:p w14:paraId="42A0CFED">
            <w:pPr>
              <w:jc w:val="center"/>
              <w:rPr>
                <w:rFonts w:hint="eastAsia" w:ascii="仿宋_GB2312" w:hAnsi="仿宋_GB2312" w:eastAsia="仿宋_GB2312" w:cs="仿宋_GB2312"/>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shd w:val="clear" w:color="auto" w:fill="auto"/>
            <w:vAlign w:val="center"/>
          </w:tcPr>
          <w:p w14:paraId="2705BD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78709D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项目成本</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7821A3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≤273.7万元</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6723EB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成本指标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5034964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项目成本</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082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≤170万元</w:t>
            </w:r>
          </w:p>
        </w:tc>
      </w:tr>
      <w:tr w14:paraId="6AC7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DEB0D">
            <w:pPr>
              <w:jc w:val="center"/>
              <w:rPr>
                <w:rFonts w:hint="eastAsia" w:ascii="仿宋_GB2312" w:hAnsi="仿宋_GB2312" w:eastAsia="仿宋_GB2312" w:cs="仿宋_GB2312"/>
                <w:i w:val="0"/>
                <w:iCs w:val="0"/>
                <w:color w:val="000000"/>
                <w:sz w:val="18"/>
                <w:szCs w:val="18"/>
                <w:u w:val="none"/>
              </w:rPr>
            </w:pPr>
          </w:p>
        </w:tc>
        <w:tc>
          <w:tcPr>
            <w:tcW w:w="672" w:type="dxa"/>
            <w:vMerge w:val="restart"/>
            <w:tcBorders>
              <w:top w:val="single" w:color="000000" w:sz="4" w:space="0"/>
              <w:left w:val="nil"/>
              <w:bottom w:val="single" w:color="000000" w:sz="4" w:space="0"/>
              <w:right w:val="nil"/>
            </w:tcBorders>
            <w:shd w:val="clear" w:color="auto" w:fill="auto"/>
            <w:vAlign w:val="center"/>
          </w:tcPr>
          <w:p w14:paraId="5A33EF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3F4CAE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26E364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1FDA24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此项目无经济效益</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626811D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经济效益指标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790C86B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1B09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此项目无经济效益</w:t>
            </w:r>
          </w:p>
        </w:tc>
      </w:tr>
      <w:tr w14:paraId="42B0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63438">
            <w:pPr>
              <w:jc w:val="center"/>
              <w:rPr>
                <w:rFonts w:hint="eastAsia" w:ascii="仿宋_GB2312" w:hAnsi="仿宋_GB2312" w:eastAsia="仿宋_GB2312" w:cs="仿宋_GB2312"/>
                <w:i w:val="0"/>
                <w:iCs w:val="0"/>
                <w:color w:val="000000"/>
                <w:sz w:val="18"/>
                <w:szCs w:val="18"/>
                <w:u w:val="none"/>
              </w:rPr>
            </w:pPr>
          </w:p>
        </w:tc>
        <w:tc>
          <w:tcPr>
            <w:tcW w:w="672" w:type="dxa"/>
            <w:vMerge w:val="continue"/>
            <w:tcBorders>
              <w:top w:val="single" w:color="000000" w:sz="4" w:space="0"/>
              <w:left w:val="nil"/>
              <w:bottom w:val="single" w:color="000000" w:sz="4" w:space="0"/>
              <w:right w:val="nil"/>
            </w:tcBorders>
            <w:shd w:val="clear" w:color="auto" w:fill="auto"/>
            <w:vAlign w:val="center"/>
          </w:tcPr>
          <w:p w14:paraId="33776654">
            <w:pPr>
              <w:jc w:val="center"/>
              <w:rPr>
                <w:rFonts w:hint="eastAsia" w:ascii="仿宋_GB2312" w:hAnsi="仿宋_GB2312" w:eastAsia="仿宋_GB2312" w:cs="仿宋_GB2312"/>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shd w:val="clear" w:color="auto" w:fill="auto"/>
            <w:vAlign w:val="center"/>
          </w:tcPr>
          <w:p w14:paraId="40696B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372E96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维护“ 二乙”人员医疗合法权益，维护社会稳定</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0082B76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维护“ 二乙”人员医疗合法权益，维护社会稳定</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59A978D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529FCAA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维护“ 二乙”人员医疗合法权益，维护社会稳定</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B83E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维护“ 二乙”人员医疗合法权益，维护社会稳定</w:t>
            </w:r>
          </w:p>
        </w:tc>
      </w:tr>
      <w:tr w14:paraId="47D3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D4610">
            <w:pPr>
              <w:jc w:val="center"/>
              <w:rPr>
                <w:rFonts w:hint="eastAsia" w:ascii="仿宋_GB2312" w:hAnsi="仿宋_GB2312" w:eastAsia="仿宋_GB2312" w:cs="仿宋_GB2312"/>
                <w:i w:val="0"/>
                <w:iCs w:val="0"/>
                <w:color w:val="000000"/>
                <w:sz w:val="18"/>
                <w:szCs w:val="18"/>
                <w:u w:val="none"/>
              </w:rPr>
            </w:pPr>
          </w:p>
        </w:tc>
        <w:tc>
          <w:tcPr>
            <w:tcW w:w="672" w:type="dxa"/>
            <w:vMerge w:val="continue"/>
            <w:tcBorders>
              <w:top w:val="single" w:color="000000" w:sz="4" w:space="0"/>
              <w:left w:val="nil"/>
              <w:bottom w:val="single" w:color="000000" w:sz="4" w:space="0"/>
              <w:right w:val="nil"/>
            </w:tcBorders>
            <w:shd w:val="clear" w:color="auto" w:fill="auto"/>
            <w:vAlign w:val="center"/>
          </w:tcPr>
          <w:p w14:paraId="66929FE7">
            <w:pPr>
              <w:jc w:val="center"/>
              <w:rPr>
                <w:rFonts w:hint="eastAsia" w:ascii="仿宋_GB2312" w:hAnsi="仿宋_GB2312" w:eastAsia="仿宋_GB2312" w:cs="仿宋_GB2312"/>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shd w:val="clear" w:color="auto" w:fill="auto"/>
            <w:vAlign w:val="center"/>
          </w:tcPr>
          <w:p w14:paraId="37747E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4A6DE1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无此指标</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445190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41CE1E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生态效益指标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2D2E13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无此指标</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DF6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不适用</w:t>
            </w:r>
          </w:p>
        </w:tc>
      </w:tr>
      <w:tr w14:paraId="7FDA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5BB9E">
            <w:pPr>
              <w:jc w:val="center"/>
              <w:rPr>
                <w:rFonts w:hint="eastAsia" w:ascii="仿宋_GB2312" w:hAnsi="仿宋_GB2312" w:eastAsia="仿宋_GB2312" w:cs="仿宋_GB2312"/>
                <w:i w:val="0"/>
                <w:iCs w:val="0"/>
                <w:color w:val="000000"/>
                <w:sz w:val="18"/>
                <w:szCs w:val="18"/>
                <w:u w:val="none"/>
              </w:rPr>
            </w:pPr>
          </w:p>
        </w:tc>
        <w:tc>
          <w:tcPr>
            <w:tcW w:w="672" w:type="dxa"/>
            <w:vMerge w:val="continue"/>
            <w:tcBorders>
              <w:top w:val="single" w:color="000000" w:sz="4" w:space="0"/>
              <w:left w:val="nil"/>
              <w:bottom w:val="single" w:color="000000" w:sz="4" w:space="0"/>
              <w:right w:val="nil"/>
            </w:tcBorders>
            <w:shd w:val="clear" w:color="auto" w:fill="auto"/>
            <w:vAlign w:val="center"/>
          </w:tcPr>
          <w:p w14:paraId="3D847CDE">
            <w:pPr>
              <w:jc w:val="center"/>
              <w:rPr>
                <w:rFonts w:hint="eastAsia" w:ascii="仿宋_GB2312" w:hAnsi="仿宋_GB2312" w:eastAsia="仿宋_GB2312" w:cs="仿宋_GB2312"/>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shd w:val="clear" w:color="auto" w:fill="auto"/>
            <w:vAlign w:val="center"/>
          </w:tcPr>
          <w:p w14:paraId="1334AC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18325A9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补助补贴政策为公共服务、保障人民利益提供长期保障</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0F55CB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确保“二乙”人员医疗待遇持续进行</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32CDE8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5B3867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补助补贴政策为公共服务、保障人民利益提供长期保障</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15E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确保“二乙”人员医疗待遇持续进行</w:t>
            </w:r>
          </w:p>
        </w:tc>
      </w:tr>
      <w:tr w14:paraId="6B65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AC9F">
            <w:pPr>
              <w:jc w:val="center"/>
              <w:rPr>
                <w:rFonts w:hint="eastAsia" w:ascii="仿宋_GB2312" w:hAnsi="仿宋_GB2312" w:eastAsia="仿宋_GB2312" w:cs="仿宋_GB2312"/>
                <w:i w:val="0"/>
                <w:iCs w:val="0"/>
                <w:color w:val="000000"/>
                <w:sz w:val="18"/>
                <w:szCs w:val="18"/>
                <w:u w:val="none"/>
              </w:rPr>
            </w:pPr>
          </w:p>
        </w:tc>
        <w:tc>
          <w:tcPr>
            <w:tcW w:w="672" w:type="dxa"/>
            <w:tcBorders>
              <w:top w:val="single" w:color="000000" w:sz="4" w:space="0"/>
              <w:left w:val="nil"/>
              <w:bottom w:val="single" w:color="000000" w:sz="4" w:space="0"/>
              <w:right w:val="nil"/>
            </w:tcBorders>
            <w:shd w:val="clear" w:color="auto" w:fill="auto"/>
            <w:vAlign w:val="center"/>
          </w:tcPr>
          <w:p w14:paraId="3581DF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25FEF9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456" w:type="dxa"/>
            <w:tcBorders>
              <w:top w:val="single" w:color="000000" w:sz="4" w:space="0"/>
              <w:left w:val="single" w:color="000000" w:sz="4" w:space="0"/>
              <w:bottom w:val="single" w:color="000000" w:sz="4" w:space="0"/>
              <w:right w:val="nil"/>
            </w:tcBorders>
            <w:shd w:val="clear" w:color="auto" w:fill="auto"/>
            <w:vAlign w:val="center"/>
          </w:tcPr>
          <w:p w14:paraId="0A947CD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2B12E0A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618" w:type="dxa"/>
            <w:tcBorders>
              <w:top w:val="single" w:color="000000" w:sz="4" w:space="0"/>
              <w:left w:val="single" w:color="000000" w:sz="4" w:space="0"/>
              <w:bottom w:val="single" w:color="000000" w:sz="4" w:space="0"/>
              <w:right w:val="nil"/>
            </w:tcBorders>
            <w:shd w:val="clear" w:color="auto" w:fill="auto"/>
            <w:vAlign w:val="center"/>
          </w:tcPr>
          <w:p w14:paraId="11AB943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73AE7AC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FAD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bl>
    <w:p w14:paraId="727FAF4D">
      <w:pPr>
        <w:adjustRightInd w:val="0"/>
        <w:snapToGrid w:val="0"/>
        <w:spacing w:line="580" w:lineRule="exact"/>
        <w:ind w:firstLine="643" w:firstLineChars="200"/>
        <w:rPr>
          <w:rFonts w:hint="default" w:ascii="Times New Roman" w:hAnsi="Times New Roman" w:eastAsia="仿宋_GB2312" w:cs="Times New Roman"/>
          <w:b/>
          <w:sz w:val="32"/>
          <w:szCs w:val="32"/>
        </w:rPr>
      </w:pPr>
    </w:p>
    <w:p w14:paraId="5668BE38">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1DE442E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为非参照公务员法管理的事业单位，按照部门预算机关运行经费口径，2025年无机关运行经费财政拨款预算。</w:t>
      </w:r>
    </w:p>
    <w:p w14:paraId="7DB67EED">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0E59A2C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2025年政府采购预算</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w:t>
      </w:r>
    </w:p>
    <w:p w14:paraId="57CB2117">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463B88F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6A1A767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2025年部门（单位）预算安排购置公务用车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87D4241">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0C99304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2025年，淮北市</w:t>
      </w:r>
      <w:r>
        <w:rPr>
          <w:rFonts w:hint="default" w:ascii="Times New Roman" w:hAnsi="Times New Roman" w:eastAsia="仿宋_GB2312" w:cs="Times New Roman"/>
          <w:kern w:val="0"/>
          <w:sz w:val="32"/>
          <w:szCs w:val="32"/>
          <w:lang w:eastAsia="zh-CN"/>
        </w:rPr>
        <w:t>医疗生育保险管理服务中心</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2498.90</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060AA1B9">
      <w:pPr>
        <w:pStyle w:val="6"/>
        <w:adjustRightInd w:val="0"/>
        <w:snapToGrid w:val="0"/>
        <w:spacing w:line="560" w:lineRule="exact"/>
        <w:jc w:val="center"/>
        <w:rPr>
          <w:rFonts w:hint="default" w:ascii="Times New Roman" w:hAnsi="Times New Roman" w:eastAsia="黑体" w:cs="Times New Roman"/>
          <w:bCs/>
          <w:sz w:val="36"/>
          <w:szCs w:val="36"/>
        </w:rPr>
      </w:pPr>
    </w:p>
    <w:p w14:paraId="73CA849A">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3344EAE5">
      <w:pPr>
        <w:rPr>
          <w:rFonts w:hint="default" w:ascii="Times New Roman" w:hAnsi="Times New Roman" w:cs="Times New Roman"/>
        </w:rPr>
      </w:pPr>
    </w:p>
    <w:p w14:paraId="4E08E3C1">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7065D7F3">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73C1CBB3">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223EEC8C">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5415EF82">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3E98BC6C">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0A7B2821">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3B943E80">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70E87C35">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0A7C9C8F">
      <w:pPr>
        <w:rPr>
          <w:rFonts w:hint="default" w:ascii="Times New Roman" w:hAnsi="Times New Roman" w:cs="Times New Roman"/>
        </w:rPr>
      </w:pPr>
    </w:p>
    <w:p w14:paraId="39FAD133">
      <w:pPr>
        <w:rPr>
          <w:rFonts w:hint="default" w:ascii="Times New Roman" w:hAnsi="Times New Roman" w:cs="Times New Roman"/>
        </w:rPr>
      </w:pPr>
    </w:p>
    <w:p w14:paraId="41EA151D">
      <w:pPr>
        <w:rPr>
          <w:rFonts w:hint="default" w:ascii="Times New Roman" w:hAnsi="Times New Roman" w:cs="Times New Roman"/>
        </w:rPr>
      </w:pPr>
    </w:p>
    <w:p w14:paraId="693C95A9">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DejaVu Sans">
    <w:altName w:val="Segoe Print"/>
    <w:panose1 w:val="020B0603030804020204"/>
    <w:charset w:val="00"/>
    <w:family w:val="auto"/>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5AF09C2"/>
    <w:rsid w:val="0BE65DF4"/>
    <w:rsid w:val="31C84926"/>
    <w:rsid w:val="36E678F9"/>
    <w:rsid w:val="3EFE3402"/>
    <w:rsid w:val="3F124C2C"/>
    <w:rsid w:val="50CA0F81"/>
    <w:rsid w:val="570D735E"/>
    <w:rsid w:val="73487C44"/>
    <w:rsid w:val="745E645C"/>
    <w:rsid w:val="75D946DD"/>
    <w:rsid w:val="7FEBBCE4"/>
    <w:rsid w:val="7FFF9E84"/>
    <w:rsid w:val="BFCFB85E"/>
    <w:rsid w:val="E7E72076"/>
    <w:rsid w:val="EDF71464"/>
    <w:rsid w:val="FD7CC451"/>
    <w:rsid w:val="FFFF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widowControl w:val="0"/>
      <w:spacing w:before="100" w:beforeAutospacing="1" w:after="100" w:afterAutospacing="1"/>
      <w:outlineLvl w:val="1"/>
    </w:pPr>
    <w:rPr>
      <w:rFonts w:hint="eastAsia" w:ascii="宋体" w:hAnsi="宋体" w:eastAsia="宋体" w:cs="Times New Roman"/>
      <w:b/>
      <w:bCs/>
      <w:sz w:val="36"/>
      <w:szCs w:val="36"/>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qFormat/>
    <w:uiPriority w:val="0"/>
    <w:pPr>
      <w:spacing w:after="120" w:afterLines="0" w:line="480" w:lineRule="auto"/>
      <w:ind w:left="420" w:leftChars="200"/>
    </w:pPr>
    <w:rPr>
      <w:rFonts w:ascii="Times New Roman" w:hAnsi="Times New Roman" w:eastAsia="宋体" w:cs="Times New Roman"/>
      <w:sz w:val="21"/>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6174</Words>
  <Characters>6877</Characters>
  <Lines>48</Lines>
  <Paragraphs>13</Paragraphs>
  <TotalTime>12</TotalTime>
  <ScaleCrop>false</ScaleCrop>
  <LinksUpToDate>false</LinksUpToDate>
  <CharactersWithSpaces>7010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2023-01-31T09:51:00Z</dcterms:created>
  <dc:creator>lenovo</dc:creator>
  <cp:lastModifiedBy>陈凯凯</cp:lastModifiedBy>
  <dcterms:modified xsi:type="dcterms:W3CDTF">2025-02-13T08:25:28Z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B555D3FA1524C423F5C3AA67AC385CE4</vt:lpwstr>
  </property>
  <property fmtid="{D5CDD505-2E9C-101B-9397-08002B2CF9AE}" pid="4" name="KSOTemplateDocerSaveRecord">
    <vt:lpwstr>eyJoZGlkIjoiNzRkZTg3OGU1ZjZlODY5NmQ5N2VlMmVjNjBiOTkwZmUifQ==</vt:lpwstr>
  </property>
</Properties>
</file>