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9C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淮北市长期护理保险实施办法起草说明</w:t>
      </w:r>
    </w:p>
    <w:p w14:paraId="22F2F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宋体" w:hAnsi="宋体" w:eastAsia="宋体" w:cs="宋体"/>
          <w:sz w:val="32"/>
          <w:szCs w:val="32"/>
        </w:rPr>
      </w:pPr>
    </w:p>
    <w:p w14:paraId="5EA59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一、起草背景</w:t>
      </w:r>
    </w:p>
    <w:p w14:paraId="0B9E72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国标仿宋" w:hAnsi="国标仿宋" w:eastAsia="国标仿宋" w:cs="国标仿宋"/>
          <w:sz w:val="32"/>
          <w:szCs w:val="32"/>
          <w:lang w:eastAsia="zh-CN"/>
        </w:rPr>
      </w:pPr>
      <w:r>
        <w:rPr>
          <w:rFonts w:hint="eastAsia" w:ascii="国标仿宋" w:hAnsi="国标仿宋" w:eastAsia="国标仿宋" w:cs="国标仿宋"/>
          <w:sz w:val="32"/>
          <w:szCs w:val="32"/>
        </w:rPr>
        <w:t>建立长期护理保险制度是党中央、国务院作出的重要部署，是有效减轻失能人员及家庭经济压力和照护需求的重要</w:t>
      </w:r>
      <w:r>
        <w:rPr>
          <w:rFonts w:hint="eastAsia" w:ascii="国标仿宋" w:hAnsi="国标仿宋" w:eastAsia="国标仿宋" w:cs="国标仿宋"/>
          <w:sz w:val="32"/>
          <w:szCs w:val="32"/>
          <w:lang w:eastAsia="zh-CN"/>
        </w:rPr>
        <w:t>制度</w:t>
      </w:r>
      <w:r>
        <w:rPr>
          <w:rFonts w:hint="eastAsia" w:ascii="国标仿宋" w:hAnsi="国标仿宋" w:eastAsia="国标仿宋" w:cs="国标仿宋"/>
          <w:sz w:val="32"/>
          <w:szCs w:val="32"/>
        </w:rPr>
        <w:t>安排。为贯彻落实党中央、国务院积极应对人口老龄化国家战略，根据《中共中央办公厅 国务院办公厅关于加快建立长期护理保险制度的意见》精神，对照《安徽省建立长期护理保险制度实施方案》，结合我市实际，市医保局牵头起草《淮北市长期护理保险实施办法》</w:t>
      </w:r>
      <w:r>
        <w:rPr>
          <w:rFonts w:hint="eastAsia" w:ascii="国标仿宋" w:hAnsi="国标仿宋" w:eastAsia="国标仿宋" w:cs="国标仿宋"/>
          <w:sz w:val="32"/>
          <w:szCs w:val="32"/>
          <w:lang w:eastAsia="zh-CN"/>
        </w:rPr>
        <w:t>。</w:t>
      </w:r>
    </w:p>
    <w:p w14:paraId="633C51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国标黑体" w:hAnsi="国标黑体" w:eastAsia="国标黑体" w:cs="国标黑体"/>
          <w:sz w:val="32"/>
          <w:szCs w:val="32"/>
          <w:lang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eastAsia="zh-CN"/>
        </w:rPr>
        <w:t>二、起草过程</w:t>
      </w:r>
    </w:p>
    <w:p w14:paraId="16BC917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市医疗保障局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深入开展摸底调研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多次召开座谈会商讨，主动发函征求财政、</w:t>
      </w:r>
      <w:r>
        <w:rPr>
          <w:rFonts w:hint="eastAsia" w:ascii="Times New Roman" w:hAnsi="Times New Roman" w:eastAsia="CESI仿宋-GB18030" w:cs="Times New Roman"/>
          <w:b w:val="0"/>
          <w:bCs w:val="0"/>
          <w:color w:val="000000"/>
          <w:sz w:val="32"/>
          <w:szCs w:val="40"/>
          <w:lang w:val="en-US" w:eastAsia="zh-CN"/>
        </w:rPr>
        <w:t>人社、民政、卫健等相关部门和县区政府意见，在省医保局、省财政厅，市政办、司法局指导下，形成</w:t>
      </w:r>
      <w:r>
        <w:rPr>
          <w:rFonts w:hint="eastAsia" w:ascii="国标仿宋" w:hAnsi="国标仿宋" w:eastAsia="国标仿宋" w:cs="国标仿宋"/>
          <w:sz w:val="32"/>
          <w:szCs w:val="32"/>
        </w:rPr>
        <w:t>《淮北市长期护理保险实施办法》</w:t>
      </w:r>
      <w:r>
        <w:rPr>
          <w:rFonts w:hint="eastAsia" w:ascii="国标仿宋" w:hAnsi="国标仿宋" w:eastAsia="国标仿宋" w:cs="国标仿宋"/>
          <w:sz w:val="32"/>
          <w:szCs w:val="32"/>
          <w:lang w:eastAsia="zh-CN"/>
        </w:rPr>
        <w:t>（征求意见稿）</w:t>
      </w:r>
      <w:r>
        <w:rPr>
          <w:rFonts w:hint="eastAsia" w:ascii="Times New Roman" w:hAnsi="Times New Roman" w:eastAsia="CESI仿宋-GB18030" w:cs="Times New Roman"/>
          <w:b w:val="0"/>
          <w:bCs w:val="0"/>
          <w:color w:val="000000"/>
          <w:sz w:val="32"/>
          <w:szCs w:val="40"/>
          <w:lang w:val="en-US" w:eastAsia="zh-CN"/>
        </w:rPr>
        <w:t>。</w:t>
      </w:r>
    </w:p>
    <w:p w14:paraId="78152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  <w:lang w:eastAsia="zh-CN"/>
        </w:rPr>
        <w:t>三、</w:t>
      </w:r>
      <w:r>
        <w:rPr>
          <w:rFonts w:hint="eastAsia" w:ascii="国标黑体" w:hAnsi="国标黑体" w:eastAsia="国标黑体" w:cs="国标黑体"/>
          <w:sz w:val="32"/>
          <w:szCs w:val="32"/>
        </w:rPr>
        <w:t>主要内容</w:t>
      </w:r>
    </w:p>
    <w:p w14:paraId="7C068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（一）筹资机制</w:t>
      </w:r>
    </w:p>
    <w:p w14:paraId="591101B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right="0" w:rightChars="0" w:firstLine="640" w:firstLineChars="200"/>
        <w:jc w:val="both"/>
        <w:textAlignment w:val="baseline"/>
        <w:outlineLvl w:val="9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/>
          <w:sz w:val="32"/>
          <w:szCs w:val="40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40"/>
          <w:lang w:val="en-US" w:eastAsia="zh-CN"/>
        </w:rPr>
        <w:t>职工：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/>
          <w:sz w:val="32"/>
          <w:szCs w:val="40"/>
          <w:lang w:val="en-US" w:eastAsia="zh-CN"/>
        </w:rPr>
        <w:t>（1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40"/>
          <w:lang w:val="en-US" w:eastAsia="zh-CN"/>
        </w:rPr>
        <w:t>）单位职工费率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/>
          <w:sz w:val="32"/>
          <w:szCs w:val="40"/>
          <w:lang w:val="en-US" w:eastAsia="zh-CN"/>
        </w:rPr>
        <w:t>0.3%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40"/>
          <w:lang w:val="en-US"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由用人单位和职工个人同比例分担，各为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/>
          <w:sz w:val="32"/>
          <w:szCs w:val="40"/>
          <w:lang w:val="en-US" w:eastAsia="zh-CN"/>
        </w:rPr>
        <w:t>0.15%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；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/>
          <w:sz w:val="32"/>
          <w:szCs w:val="40"/>
          <w:lang w:val="en-US" w:eastAsia="zh-CN"/>
        </w:rPr>
        <w:t>（2）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退休人员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费率为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/>
          <w:sz w:val="32"/>
          <w:szCs w:val="40"/>
          <w:lang w:val="en-US" w:eastAsia="zh-CN"/>
        </w:rPr>
        <w:t>0.15%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，由个人缴费，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u w:val="none"/>
          <w:lang w:val="en-US" w:eastAsia="zh-CN"/>
        </w:rPr>
        <w:t>缴费基数为本人基本养老金；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/>
          <w:sz w:val="32"/>
          <w:szCs w:val="40"/>
          <w:lang w:val="en-US" w:eastAsia="zh-CN"/>
        </w:rPr>
        <w:t>（3）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已参加职工医保的灵活就业人员，费率为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/>
          <w:sz w:val="32"/>
          <w:szCs w:val="40"/>
          <w:lang w:val="en-US" w:eastAsia="zh-CN"/>
        </w:rPr>
        <w:t>0.3%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，由个人按规定缴费，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u w:val="none"/>
          <w:lang w:val="en-US" w:eastAsia="zh-CN"/>
        </w:rPr>
        <w:t>缴费基数为其职工医保缴费基数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。</w:t>
      </w:r>
    </w:p>
    <w:p w14:paraId="29289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/>
          <w:sz w:val="32"/>
          <w:szCs w:val="40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40"/>
          <w:lang w:val="en-US" w:eastAsia="zh-CN"/>
        </w:rPr>
        <w:t>城乡居民：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/>
          <w:sz w:val="32"/>
          <w:szCs w:val="40"/>
          <w:lang w:val="en-US" w:eastAsia="zh-CN"/>
        </w:rPr>
        <w:t>（1）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未就业城乡居民。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费率为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/>
          <w:sz w:val="32"/>
          <w:szCs w:val="40"/>
          <w:lang w:val="en-US" w:eastAsia="zh-CN"/>
        </w:rPr>
        <w:t>0.3%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，由个人和政府按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/>
          <w:sz w:val="32"/>
          <w:szCs w:val="40"/>
          <w:lang w:val="en-US" w:eastAsia="zh-CN"/>
        </w:rPr>
        <w:t>1:1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左右分担，缴费基数为我市上年度城乡居民人均可支配收入。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/>
          <w:sz w:val="32"/>
          <w:szCs w:val="40"/>
          <w:lang w:val="en-US" w:eastAsia="zh-CN"/>
        </w:rPr>
        <w:t>（2）18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周岁以下未就业人员跟随父母或其他法定抚养人等参保，不单独筹资，同步纳入长期护理保险。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/>
          <w:sz w:val="32"/>
          <w:szCs w:val="40"/>
          <w:lang w:val="en-US" w:eastAsia="zh-CN"/>
        </w:rPr>
        <w:t>（3）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困难人群。政府对符合条件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的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特困人员、低保对象、防止返贫致贫对象参加长护险个人缴费部分，按居民医保参保资助政策分类资助。</w:t>
      </w:r>
    </w:p>
    <w:p w14:paraId="5E0B82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29" w:leftChars="0"/>
        <w:textAlignment w:val="auto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（二）待遇保障</w:t>
      </w:r>
    </w:p>
    <w:p w14:paraId="76070C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CESI仿宋-GB18030" w:cs="Times New Roman"/>
          <w:b w:val="0"/>
          <w:bCs w:val="0"/>
          <w:color w:val="000000"/>
          <w:sz w:val="32"/>
          <w:szCs w:val="4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u w:val="none"/>
          <w:lang w:val="en-US" w:eastAsia="zh-CN"/>
        </w:rPr>
        <w:t>长护险服务</w:t>
      </w:r>
      <w:r>
        <w:rPr>
          <w:rFonts w:hint="default" w:ascii="方正仿宋_GB2312" w:hAnsi="方正仿宋_GB2312" w:eastAsia="方正仿宋_GB2312" w:cs="方正仿宋_GB2312"/>
          <w:sz w:val="32"/>
          <w:u w:val="none"/>
          <w:lang w:val="en-US" w:eastAsia="zh-CN"/>
        </w:rPr>
        <w:t>保障</w:t>
      </w:r>
      <w:r>
        <w:rPr>
          <w:rFonts w:hint="eastAsia" w:ascii="方正仿宋_GB2312" w:hAnsi="方正仿宋_GB2312" w:eastAsia="方正仿宋_GB2312" w:cs="方正仿宋_GB2312"/>
          <w:sz w:val="32"/>
          <w:u w:val="none"/>
          <w:lang w:val="en-US" w:eastAsia="zh-CN"/>
        </w:rPr>
        <w:t>的</w:t>
      </w:r>
      <w:r>
        <w:rPr>
          <w:rFonts w:hint="default" w:ascii="方正仿宋_GB2312" w:hAnsi="方正仿宋_GB2312" w:eastAsia="方正仿宋_GB2312" w:cs="方正仿宋_GB2312"/>
          <w:sz w:val="32"/>
          <w:u w:val="none"/>
          <w:lang w:val="en-US" w:eastAsia="zh-CN"/>
        </w:rPr>
        <w:t>对象</w:t>
      </w:r>
      <w:r>
        <w:rPr>
          <w:rFonts w:hint="eastAsia" w:ascii="方正仿宋_GB2312" w:hAnsi="方正仿宋_GB2312" w:eastAsia="方正仿宋_GB2312" w:cs="方正仿宋_GB2312"/>
          <w:sz w:val="32"/>
          <w:u w:val="none"/>
          <w:lang w:val="en-US" w:eastAsia="zh-CN"/>
        </w:rPr>
        <w:t>，</w:t>
      </w:r>
      <w:r>
        <w:rPr>
          <w:rFonts w:hint="default" w:ascii="方正仿宋_GB2312" w:hAnsi="方正仿宋_GB2312" w:eastAsia="方正仿宋_GB2312" w:cs="方正仿宋_GB2312"/>
          <w:sz w:val="32"/>
          <w:u w:val="none"/>
          <w:lang w:val="en-US" w:eastAsia="zh-CN"/>
        </w:rPr>
        <w:t>为经评估认定为重度失能且持续失</w:t>
      </w:r>
      <w:r>
        <w:rPr>
          <w:rFonts w:hint="eastAsia" w:ascii="方正仿宋_GB2312" w:hAnsi="方正仿宋_GB2312" w:eastAsia="方正仿宋_GB2312" w:cs="方正仿宋_GB2312"/>
          <w:sz w:val="32"/>
          <w:u w:val="none"/>
          <w:lang w:val="en-US" w:eastAsia="zh-CN"/>
        </w:rPr>
        <w:t>能</w:t>
      </w:r>
      <w:r>
        <w:rPr>
          <w:rFonts w:hint="default" w:ascii="Times New Roman" w:hAnsi="Times New Roman" w:eastAsia="CESI仿宋-GB18030" w:cs="Times New Roman"/>
          <w:b w:val="0"/>
          <w:bCs w:val="0"/>
          <w:color w:val="000000"/>
          <w:sz w:val="32"/>
          <w:szCs w:val="40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u w:val="none"/>
          <w:lang w:val="en-US" w:eastAsia="zh-CN"/>
        </w:rPr>
        <w:t>个月以上的参保人员。</w:t>
      </w:r>
    </w:p>
    <w:p w14:paraId="34A21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sz w:val="32"/>
          <w:u w:val="none"/>
        </w:rPr>
        <w:t>按照护理类型和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失能等级分别</w:t>
      </w:r>
      <w:r>
        <w:rPr>
          <w:rFonts w:hint="eastAsia" w:ascii="方正仿宋_GB2312" w:hAnsi="方正仿宋_GB2312" w:eastAsia="方正仿宋_GB2312" w:cs="方正仿宋_GB2312"/>
          <w:sz w:val="32"/>
          <w:u w:val="none"/>
        </w:rPr>
        <w:t>确定基金支付</w:t>
      </w:r>
      <w:r>
        <w:rPr>
          <w:rFonts w:hint="eastAsia" w:ascii="方正仿宋_GB2312" w:hAnsi="方正仿宋_GB2312" w:eastAsia="方正仿宋_GB2312" w:cs="方正仿宋_GB2312"/>
          <w:sz w:val="32"/>
          <w:u w:val="none"/>
          <w:lang w:eastAsia="zh-CN"/>
        </w:rPr>
        <w:t>比例和支付限额。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</w:rPr>
        <w:t>退休人员享受单位职工同等待遇标准。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eastAsia="zh-CN"/>
        </w:rPr>
        <w:t>对于支付比例，职工参保人员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u w:val="none"/>
        </w:rPr>
        <w:t>在机构、居家、社区护理的基金支付比例分别为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/>
          <w:sz w:val="32"/>
          <w:szCs w:val="40"/>
          <w:lang w:val="en-US" w:eastAsia="zh-CN"/>
        </w:rPr>
        <w:t>65%、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70%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</w:rPr>
        <w:t>、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70%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</w:rPr>
        <w:t>；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u w:val="none"/>
        </w:rPr>
        <w:t>按未就业城乡居民参保政策参保的，在机构、居家、社区护理的基金支付比例分别为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45%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</w:rPr>
        <w:t>、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50%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</w:rPr>
        <w:t>、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50%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u w:val="none"/>
        </w:rPr>
        <w:t>。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u w:val="none"/>
          <w:lang w:eastAsia="zh-CN"/>
        </w:rPr>
        <w:t>针对支付限额，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u w:val="none"/>
        </w:rPr>
        <w:t>基金年度最高支付限额根据参保缴费标准不同适当拉开差距。按单位职工、未就业城乡居民参保政策参保的，分别不超过我市上年度城乡居民人均可支配收入的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50%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</w:rPr>
        <w:t>、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40%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u w:val="none"/>
        </w:rPr>
        <w:t>，并平均分配至每月。根据重度失能等级，分别确定差异化的年度最高支付限额，各失能等级的年度最高支付限额分别相差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5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u w:val="none"/>
        </w:rPr>
        <w:t>个百分点。</w:t>
      </w:r>
    </w:p>
    <w:p w14:paraId="1C8DC4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（三）基金管理</w:t>
      </w:r>
    </w:p>
    <w:p w14:paraId="593CB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u w:val="none"/>
          <w:lang w:eastAsia="zh-CN"/>
        </w:rPr>
        <w:t>我市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u w:val="none"/>
        </w:rPr>
        <w:t>长护险基金坚持以收定支、收支平衡，纳入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u w:val="none"/>
          <w:lang w:val="en-US" w:eastAsia="zh-CN"/>
        </w:rPr>
        <w:t>社保资金财政专户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u w:val="none"/>
        </w:rPr>
        <w:t>，单独建账、单独管理、专款专用。将长护险纳入社会保险基金预算编制范围。不得将基金交由经办长期护理保险的第三方机构代管代拨。</w:t>
      </w:r>
    </w:p>
    <w:p w14:paraId="70ECA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rPr>
          <w:rFonts w:hint="eastAsia" w:eastAsia="宋体"/>
          <w:lang w:eastAsia="zh-CN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1" w:usb1="08000000" w:usb2="00000000" w:usb3="00000000" w:csb0="00040000" w:csb1="00000000"/>
    <w:embedRegular r:id="rId1" w:fontKey="{01FA5C1B-EAA4-4C11-A0D0-F9E0C9E7219C}"/>
  </w:font>
  <w:font w:name="国标仿宋">
    <w:altName w:val="仿宋"/>
    <w:panose1 w:val="02000500000000000000"/>
    <w:charset w:val="86"/>
    <w:family w:val="auto"/>
    <w:pitch w:val="default"/>
    <w:sig w:usb0="00000000" w:usb1="00000000" w:usb2="00000016" w:usb3="00000000" w:csb0="00040000" w:csb1="00000000"/>
    <w:embedRegular r:id="rId2" w:fontKey="{161E2146-6119-4F5B-B1EA-41689D470EC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F63E7C1-519D-4789-A4AC-FCF99B4D6733}"/>
  </w:font>
  <w:font w:name="CESI仿宋-GB18030">
    <w:altName w:val="仿宋"/>
    <w:panose1 w:val="02000500000000000000"/>
    <w:charset w:val="86"/>
    <w:family w:val="auto"/>
    <w:pitch w:val="default"/>
    <w:sig w:usb0="A00002BF" w:usb1="38C77CFA" w:usb2="00000016" w:usb3="00000000" w:csb0="0004000F" w:csb1="00000000"/>
    <w:embedRegular r:id="rId4" w:fontKey="{145A953A-E8E3-40E2-9E64-05A224B1D6DE}"/>
  </w:font>
  <w:font w:name="方正楷体_GB2312">
    <w:altName w:val="楷体_GB2312"/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0225F28B-25F9-418D-B949-9273B6AB234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BDA3DC2F-9C8F-4E26-9D53-590404FE96FF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67E5C0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32D617"/>
    <w:rsid w:val="013F76E8"/>
    <w:rsid w:val="0C3806D4"/>
    <w:rsid w:val="11C353B5"/>
    <w:rsid w:val="6B846569"/>
    <w:rsid w:val="6BCE60D7"/>
    <w:rsid w:val="7E32D617"/>
    <w:rsid w:val="7FFE77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1002</Words>
  <Characters>1040</Characters>
  <Lines>0</Lines>
  <Paragraphs>0</Paragraphs>
  <TotalTime>0</TotalTime>
  <ScaleCrop>false</ScaleCrop>
  <LinksUpToDate>false</LinksUpToDate>
  <CharactersWithSpaces>1041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2026-09-23T11:16:00Z</dcterms:created>
  <dc:creator>浩子</dc:creator>
  <cp:lastModifiedBy>清风乀你好</cp:lastModifiedBy>
  <dcterms:modified xsi:type="dcterms:W3CDTF">2026-09-23T07:48:28Z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C21D0EB8F7D94AA0899F53A23AF6A2A1_13</vt:lpwstr>
  </property>
</Properties>
</file>